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A20C" w14:textId="77777777" w:rsidR="00D634DD" w:rsidRDefault="00D634DD" w:rsidP="004F49E1">
      <w:pPr>
        <w:jc w:val="center"/>
        <w:rPr>
          <w:b/>
          <w:sz w:val="28"/>
          <w:szCs w:val="28"/>
        </w:rPr>
      </w:pPr>
    </w:p>
    <w:p w14:paraId="331060BB" w14:textId="77777777" w:rsidR="00752F1D" w:rsidRDefault="00752F1D" w:rsidP="004F49E1">
      <w:pPr>
        <w:jc w:val="center"/>
        <w:rPr>
          <w:b/>
          <w:sz w:val="28"/>
          <w:szCs w:val="28"/>
        </w:rPr>
      </w:pPr>
      <w:r w:rsidRPr="008F351B">
        <w:rPr>
          <w:b/>
          <w:sz w:val="28"/>
          <w:szCs w:val="28"/>
        </w:rPr>
        <w:t>CORPORATE GOVERNANCE-BERICHT</w:t>
      </w:r>
      <w:r>
        <w:rPr>
          <w:b/>
          <w:sz w:val="28"/>
          <w:szCs w:val="28"/>
        </w:rPr>
        <w:t xml:space="preserve"> </w:t>
      </w:r>
      <w:r w:rsidR="00896929">
        <w:rPr>
          <w:b/>
          <w:sz w:val="28"/>
          <w:szCs w:val="28"/>
        </w:rPr>
        <w:t>KAMPTAL</w:t>
      </w:r>
    </w:p>
    <w:p w14:paraId="165BAC85" w14:textId="77777777" w:rsidR="004F49E1" w:rsidRPr="008F351B" w:rsidRDefault="004F49E1" w:rsidP="004F49E1">
      <w:pPr>
        <w:jc w:val="center"/>
        <w:rPr>
          <w:b/>
          <w:sz w:val="28"/>
          <w:szCs w:val="28"/>
        </w:rPr>
      </w:pPr>
    </w:p>
    <w:p w14:paraId="55F621D6" w14:textId="3CB7AB64" w:rsidR="00752F1D" w:rsidRDefault="004F49E1" w:rsidP="004F49E1">
      <w:pPr>
        <w:jc w:val="center"/>
      </w:pPr>
      <w:r>
        <w:t>f</w:t>
      </w:r>
      <w:r w:rsidR="0063557D">
        <w:t>ür das Geschäftsjahr 20</w:t>
      </w:r>
      <w:r w:rsidR="00796B2E">
        <w:t>2</w:t>
      </w:r>
      <w:r w:rsidR="00813024">
        <w:t>5</w:t>
      </w:r>
      <w:r>
        <w:t xml:space="preserve"> zum Stichtag 31.12.202</w:t>
      </w:r>
      <w:r w:rsidR="00813024">
        <w:t>5</w:t>
      </w:r>
    </w:p>
    <w:p w14:paraId="5E7CFF6F" w14:textId="77777777" w:rsidR="00752F1D" w:rsidRDefault="00752F1D" w:rsidP="00752F1D">
      <w:pPr>
        <w:rPr>
          <w:rFonts w:cs="Helvetica"/>
          <w:color w:val="0A0A0A"/>
        </w:rPr>
      </w:pPr>
    </w:p>
    <w:p w14:paraId="7C60265A" w14:textId="77777777" w:rsidR="00752F1D" w:rsidRDefault="00752F1D" w:rsidP="00752F1D">
      <w:pPr>
        <w:rPr>
          <w:rFonts w:cs="Helvetica"/>
          <w:color w:val="0A0A0A"/>
        </w:rPr>
      </w:pPr>
    </w:p>
    <w:p w14:paraId="0FAC5385" w14:textId="77777777" w:rsidR="004F49E1" w:rsidRPr="00D53CAF" w:rsidRDefault="004F49E1" w:rsidP="00752F1D">
      <w:pPr>
        <w:rPr>
          <w:rFonts w:cs="Helvetica"/>
          <w:b/>
          <w:color w:val="0A0A0A"/>
          <w:u w:val="single"/>
        </w:rPr>
      </w:pPr>
      <w:r w:rsidRPr="00D53CAF">
        <w:rPr>
          <w:rFonts w:cs="Helvetica"/>
          <w:b/>
          <w:color w:val="0A0A0A"/>
          <w:u w:val="single"/>
        </w:rPr>
        <w:t>Grundlagen:</w:t>
      </w:r>
    </w:p>
    <w:p w14:paraId="610CBC81" w14:textId="77777777" w:rsidR="004F49E1" w:rsidRDefault="004F49E1" w:rsidP="00752F1D">
      <w:pPr>
        <w:rPr>
          <w:rFonts w:cs="Helvetica"/>
          <w:color w:val="0A0A0A"/>
        </w:rPr>
      </w:pPr>
    </w:p>
    <w:p w14:paraId="40A87AA1" w14:textId="77777777" w:rsidR="004F49E1" w:rsidRPr="007568FF" w:rsidRDefault="004F49E1" w:rsidP="00D53CAF">
      <w:pPr>
        <w:jc w:val="both"/>
        <w:rPr>
          <w:rFonts w:cs="Helvetica"/>
          <w:color w:val="0A0A0A"/>
          <w:sz w:val="20"/>
        </w:rPr>
      </w:pPr>
      <w:r w:rsidRPr="007568FF">
        <w:rPr>
          <w:rFonts w:cs="Helvetica"/>
          <w:color w:val="0A0A0A"/>
          <w:sz w:val="20"/>
        </w:rPr>
        <w:t>Die Gemeinnützige Wohnbaugesellschaft Kamptal GmbH ist eine gemeinnützige Bauvereinigung (GBV) in der Rechtsform einer Gesellschaft mit beschränkter Haftung. Die Grundlagen für ihre Corporate Governance finden sich im österreichischen Recht, insbesondere dem Genossenschafts- und Wohnungsgemeinnützigkeitsgesetz und im Corporate Governance Kodex für gemeinnützige Bauvereinigungen (GBV-CGK).</w:t>
      </w:r>
    </w:p>
    <w:p w14:paraId="1A753D32" w14:textId="77777777" w:rsidR="004F49E1" w:rsidRPr="007568FF" w:rsidRDefault="004F49E1" w:rsidP="00D53CAF">
      <w:pPr>
        <w:jc w:val="both"/>
        <w:rPr>
          <w:rFonts w:cs="Helvetica"/>
          <w:color w:val="0A0A0A"/>
          <w:sz w:val="20"/>
        </w:rPr>
      </w:pPr>
    </w:p>
    <w:p w14:paraId="1EB95E50" w14:textId="77777777" w:rsidR="004F49E1" w:rsidRPr="007568FF" w:rsidRDefault="004F49E1" w:rsidP="00D53CAF">
      <w:pPr>
        <w:jc w:val="both"/>
        <w:rPr>
          <w:rFonts w:cs="Helvetica"/>
          <w:color w:val="0A0A0A"/>
          <w:sz w:val="20"/>
        </w:rPr>
      </w:pPr>
      <w:r w:rsidRPr="007568FF">
        <w:rPr>
          <w:rFonts w:cs="Helvetica"/>
          <w:color w:val="0A0A0A"/>
          <w:sz w:val="20"/>
        </w:rPr>
        <w:t>Der GBV-CGK ist ein Ordnungsrahmen für gemeinnützige Bauvereinigungen Österreichs. Er enthält und verweist auf die wesentlichen gesetzlichen Vorschriften zur Leitung und Überwachung der Unternehmen der gemeinnützigen Wohnungswirtschaft (inkl. deren Beteiligungsunternehmen) und anerkannte Standards verantwortungsvoller Unternehmensführung. Er verfolgt das Ziel, mehr Transparenz sicherzustellen und das Vertrauen der Öffentlichkeit in die Leitung und Überwachung der gemeinnützigen Bauvereinigungen zu fördern.</w:t>
      </w:r>
    </w:p>
    <w:p w14:paraId="4863F0EA" w14:textId="77777777" w:rsidR="004F49E1" w:rsidRPr="007568FF" w:rsidRDefault="004F49E1" w:rsidP="00D53CAF">
      <w:pPr>
        <w:jc w:val="both"/>
        <w:rPr>
          <w:rFonts w:cs="Helvetica"/>
          <w:color w:val="0A0A0A"/>
          <w:sz w:val="20"/>
        </w:rPr>
      </w:pPr>
    </w:p>
    <w:p w14:paraId="3D1E1048" w14:textId="77777777" w:rsidR="004F49E1" w:rsidRPr="007568FF" w:rsidRDefault="00D53CAF" w:rsidP="00D53CAF">
      <w:pPr>
        <w:jc w:val="both"/>
        <w:rPr>
          <w:rFonts w:cs="Helvetica"/>
          <w:color w:val="0A0A0A"/>
          <w:sz w:val="20"/>
        </w:rPr>
      </w:pPr>
      <w:r w:rsidRPr="007568FF">
        <w:rPr>
          <w:rFonts w:cs="Helvetica"/>
          <w:color w:val="0A0A0A"/>
          <w:sz w:val="20"/>
        </w:rPr>
        <w:t>Rechtlich stellen die Regelungen des Kodex nach Beschluss der Delegiertenversammlung des Österreichischen Verbandes gemeinnütziger Bauvereinigungen – Revisionsverband im Dezember 2020 eine Selbstbindung der gemeinnützigen Bauvereinigungen dar, deren Beachtung den Organen der GBVs und der Revision bei der Wahrnehmung von Gesellschafterrechten, -pflichten und Überwachungs- bzw. Prüfungsfunktionen obliegt. Geltung erlangt der GBV-CGK daher durch die freiwillige Selbstverpflichtung der Unternehmen zu den Corporate Governance-Grundsätzen.</w:t>
      </w:r>
    </w:p>
    <w:p w14:paraId="45637ABD" w14:textId="77777777" w:rsidR="00D53CAF" w:rsidRPr="007568FF" w:rsidRDefault="00D53CAF" w:rsidP="00752F1D">
      <w:pPr>
        <w:rPr>
          <w:rFonts w:cs="Helvetica"/>
          <w:color w:val="0A0A0A"/>
          <w:sz w:val="20"/>
        </w:rPr>
      </w:pPr>
    </w:p>
    <w:p w14:paraId="146883AC" w14:textId="77777777" w:rsidR="00D53CAF" w:rsidRDefault="00D53CAF" w:rsidP="00D42AC7">
      <w:pPr>
        <w:jc w:val="both"/>
        <w:rPr>
          <w:rFonts w:cs="Helvetica"/>
          <w:color w:val="0A0A0A"/>
          <w:sz w:val="20"/>
        </w:rPr>
      </w:pPr>
      <w:r w:rsidRPr="007568FF">
        <w:rPr>
          <w:rFonts w:cs="Helvetica"/>
          <w:color w:val="0A0A0A"/>
          <w:sz w:val="20"/>
        </w:rPr>
        <w:t>Gemäß § 2b Abs 1 erster und zweiter Satz sowie Abs. 2 GRVO hat eine GBV einen jährlichen Corporate Governance Bericht für das vorangegangene Geschäftsjahr zu erstellen und nach Genehmigung durch den Aufsichtsrat dem Revisionsverband zu übermitteln. Der dem Revisionsverband vorzulegende Corporate Governance Bericht ist den Auszügen gemäß § 28 Abs. 8 WGG anzuschließen. Ein vollständiger Corporate Governance Bericht gemäß § 2b Abs. 1 GRVO ist für Geschäftsjahre aufzustellen, die nach dem 31.12.2020 beginnen.</w:t>
      </w:r>
    </w:p>
    <w:p w14:paraId="08901D41" w14:textId="77777777" w:rsidR="007568FF" w:rsidRDefault="007568FF" w:rsidP="00752F1D">
      <w:pPr>
        <w:rPr>
          <w:rFonts w:cs="Helvetica"/>
          <w:color w:val="0A0A0A"/>
          <w:sz w:val="20"/>
        </w:rPr>
      </w:pPr>
    </w:p>
    <w:p w14:paraId="1BBEE9D5" w14:textId="77777777" w:rsidR="007568FF" w:rsidRDefault="007568FF" w:rsidP="00752F1D">
      <w:pPr>
        <w:rPr>
          <w:rFonts w:cs="Helvetica"/>
          <w:color w:val="0A0A0A"/>
        </w:rPr>
      </w:pPr>
    </w:p>
    <w:p w14:paraId="061D5218" w14:textId="77777777" w:rsidR="00D53CAF" w:rsidRPr="00D53CAF" w:rsidRDefault="00D53CAF" w:rsidP="00752F1D">
      <w:pPr>
        <w:rPr>
          <w:rFonts w:cs="Helvetica"/>
          <w:b/>
          <w:color w:val="0A0A0A"/>
          <w:u w:val="single"/>
        </w:rPr>
      </w:pPr>
      <w:r w:rsidRPr="00D53CAF">
        <w:rPr>
          <w:rFonts w:cs="Helvetica"/>
          <w:b/>
          <w:color w:val="0A0A0A"/>
          <w:u w:val="single"/>
        </w:rPr>
        <w:t>Bekenntnis:</w:t>
      </w:r>
    </w:p>
    <w:p w14:paraId="2DE321A9" w14:textId="77777777" w:rsidR="00D53CAF" w:rsidRDefault="00D53CAF" w:rsidP="00752F1D">
      <w:pPr>
        <w:rPr>
          <w:rFonts w:cs="Helvetica"/>
          <w:color w:val="0A0A0A"/>
        </w:rPr>
      </w:pPr>
    </w:p>
    <w:p w14:paraId="7D8F1A0C" w14:textId="77777777" w:rsidR="00D53CAF" w:rsidRPr="007568FF" w:rsidRDefault="00D53CAF" w:rsidP="00D53CAF">
      <w:pPr>
        <w:jc w:val="both"/>
        <w:rPr>
          <w:rFonts w:cs="Helvetica"/>
          <w:color w:val="0A0A0A"/>
          <w:sz w:val="20"/>
        </w:rPr>
      </w:pPr>
      <w:r w:rsidRPr="007568FF">
        <w:rPr>
          <w:rFonts w:cs="Helvetica"/>
          <w:color w:val="0A0A0A"/>
          <w:sz w:val="20"/>
        </w:rPr>
        <w:t xml:space="preserve">Mit Wirkung zum 1. Jänner 2021 haben sich Geschäftsführung und Aufsichtsrat der Kamptal freiwillig zur Einhaltung des GBV-CGK verpflichtet und sich bereit erklärt, den Kodex in seiner jeweils aktuellen Fassung auch in Zukunft einzuhalten bzw. Abweichungen zu begründen. </w:t>
      </w:r>
    </w:p>
    <w:p w14:paraId="75E72D66" w14:textId="77777777" w:rsidR="00D53CAF" w:rsidRPr="007568FF" w:rsidRDefault="00D53CAF" w:rsidP="00D53CAF">
      <w:pPr>
        <w:jc w:val="both"/>
        <w:rPr>
          <w:rFonts w:cs="Helvetica"/>
          <w:color w:val="0A0A0A"/>
          <w:sz w:val="20"/>
        </w:rPr>
      </w:pPr>
      <w:r w:rsidRPr="007568FF">
        <w:rPr>
          <w:rFonts w:cs="Helvetica"/>
          <w:color w:val="0A0A0A"/>
          <w:sz w:val="20"/>
        </w:rPr>
        <w:t xml:space="preserve">Die anwendbare Fassung </w:t>
      </w:r>
      <w:r w:rsidR="009A0777">
        <w:rPr>
          <w:rFonts w:cs="Helvetica"/>
          <w:color w:val="0A0A0A"/>
          <w:sz w:val="20"/>
        </w:rPr>
        <w:t xml:space="preserve">12/2022 des Kodex wurde im </w:t>
      </w:r>
      <w:r w:rsidR="001F461E">
        <w:rPr>
          <w:rFonts w:cs="Helvetica"/>
          <w:color w:val="0A0A0A"/>
          <w:sz w:val="20"/>
        </w:rPr>
        <w:t xml:space="preserve">Dezember 2022 von der Delegiertenversammlung beschlossen, </w:t>
      </w:r>
      <w:r w:rsidRPr="007568FF">
        <w:rPr>
          <w:rFonts w:cs="Helvetica"/>
          <w:color w:val="0A0A0A"/>
          <w:sz w:val="20"/>
        </w:rPr>
        <w:t xml:space="preserve">unter www.gbv.at veröffentlicht und ist unter </w:t>
      </w:r>
      <w:hyperlink r:id="rId7" w:history="1">
        <w:r w:rsidRPr="007568FF">
          <w:rPr>
            <w:rStyle w:val="Hyperlink"/>
            <w:rFonts w:cs="Helvetica"/>
            <w:sz w:val="20"/>
          </w:rPr>
          <w:t>www.kamptal-gbv.at</w:t>
        </w:r>
      </w:hyperlink>
      <w:r w:rsidRPr="007568FF">
        <w:rPr>
          <w:rFonts w:cs="Helvetica"/>
          <w:color w:val="0A0A0A"/>
          <w:sz w:val="20"/>
        </w:rPr>
        <w:t xml:space="preserve"> öffentlich zugänglich.</w:t>
      </w:r>
    </w:p>
    <w:p w14:paraId="40C5A9C0" w14:textId="77777777" w:rsidR="00D53CAF" w:rsidRPr="007568FF" w:rsidRDefault="00D53CAF" w:rsidP="00D53CAF">
      <w:pPr>
        <w:jc w:val="both"/>
        <w:rPr>
          <w:rFonts w:cs="Helvetica"/>
          <w:color w:val="0A0A0A"/>
          <w:sz w:val="20"/>
        </w:rPr>
      </w:pPr>
    </w:p>
    <w:p w14:paraId="7A0E02CA" w14:textId="77777777" w:rsidR="00D53CAF" w:rsidRPr="007568FF" w:rsidRDefault="00D53CAF" w:rsidP="00D53CAF">
      <w:pPr>
        <w:jc w:val="both"/>
        <w:rPr>
          <w:rFonts w:cs="Helvetica"/>
          <w:color w:val="0A0A0A"/>
          <w:sz w:val="20"/>
        </w:rPr>
      </w:pPr>
      <w:r w:rsidRPr="007568FF">
        <w:rPr>
          <w:rFonts w:cs="Helvetica"/>
          <w:color w:val="0A0A0A"/>
          <w:sz w:val="20"/>
        </w:rPr>
        <w:t>Die Regelkategorien des GBV-CGK unterteilen sich in zwei Gruppen</w:t>
      </w:r>
    </w:p>
    <w:p w14:paraId="068DE9A3" w14:textId="77777777" w:rsidR="00D53CAF" w:rsidRPr="007568FF" w:rsidRDefault="00D53CAF" w:rsidP="00D53CAF">
      <w:pPr>
        <w:jc w:val="both"/>
        <w:rPr>
          <w:rFonts w:cs="Helvetica"/>
          <w:color w:val="0A0A0A"/>
          <w:sz w:val="20"/>
        </w:rPr>
      </w:pPr>
    </w:p>
    <w:p w14:paraId="0D48B536" w14:textId="77777777" w:rsidR="00D53CAF" w:rsidRPr="007568FF" w:rsidRDefault="00D53CAF" w:rsidP="00D53CAF">
      <w:pPr>
        <w:jc w:val="both"/>
        <w:rPr>
          <w:rFonts w:cs="Helvetica"/>
          <w:color w:val="0A0A0A"/>
          <w:sz w:val="20"/>
        </w:rPr>
      </w:pPr>
      <w:r w:rsidRPr="007568FF">
        <w:rPr>
          <w:rFonts w:cs="Helvetica"/>
          <w:color w:val="0A0A0A"/>
          <w:sz w:val="20"/>
        </w:rPr>
        <w:t xml:space="preserve">• Die „zwingenden Vorschriften“ beruhen durchwegs auf zwingenden Rechtsvorschriften und sind von den gemeinnützigen Bauvereinigungen verpflichtend anzuwenden. </w:t>
      </w:r>
    </w:p>
    <w:p w14:paraId="395C856D" w14:textId="77777777" w:rsidR="00D53CAF" w:rsidRPr="007568FF" w:rsidRDefault="00D53CAF" w:rsidP="00D53CAF">
      <w:pPr>
        <w:jc w:val="both"/>
        <w:rPr>
          <w:rFonts w:cs="Helvetica"/>
          <w:color w:val="0A0A0A"/>
          <w:sz w:val="20"/>
        </w:rPr>
      </w:pPr>
    </w:p>
    <w:p w14:paraId="2D7771E7" w14:textId="77777777" w:rsidR="00D53CAF" w:rsidRPr="007568FF" w:rsidRDefault="00D53CAF" w:rsidP="00D53CAF">
      <w:pPr>
        <w:jc w:val="both"/>
        <w:rPr>
          <w:rFonts w:cs="Helvetica"/>
          <w:color w:val="0A0A0A"/>
          <w:sz w:val="20"/>
        </w:rPr>
      </w:pPr>
      <w:r w:rsidRPr="007568FF">
        <w:rPr>
          <w:rFonts w:cs="Helvetica"/>
          <w:color w:val="0A0A0A"/>
          <w:sz w:val="20"/>
        </w:rPr>
        <w:t>• Die „Empfehlungen“ sollen eingehalten werden. Abweichungen von Empfehlungen können aus bestimmten Gründen durchaus notwendig und sinnvoll sein. Eine Abweichung von einer Empfehlung weist bei entsprechender Begründung aber nicht automatisch auf einen "Mangel" in der Unternehmensführung oder Überwachung hin. Die Abweichungen sind in diesem Fall im jährlich zu erstellenden Corporate Governance-Bericht (CG-Bericht) zu dokumentieren und zu begründen.</w:t>
      </w:r>
    </w:p>
    <w:p w14:paraId="5A597373" w14:textId="77777777" w:rsidR="00752F1D" w:rsidRDefault="00752F1D" w:rsidP="00752F1D"/>
    <w:p w14:paraId="34AED606" w14:textId="77777777" w:rsidR="000C7B6C" w:rsidRDefault="000C7B6C" w:rsidP="00752F1D"/>
    <w:p w14:paraId="32557674" w14:textId="77777777" w:rsidR="000C7B6C" w:rsidRDefault="000C7B6C" w:rsidP="00752F1D"/>
    <w:p w14:paraId="13AE048E" w14:textId="77777777" w:rsidR="000C7B6C" w:rsidRDefault="000C7B6C" w:rsidP="00752F1D"/>
    <w:p w14:paraId="15F168D8" w14:textId="77777777" w:rsidR="000C7B6C" w:rsidRDefault="000C7B6C" w:rsidP="00752F1D"/>
    <w:p w14:paraId="694FF537" w14:textId="77777777" w:rsidR="000C7B6C" w:rsidRDefault="000C7B6C" w:rsidP="000C7B6C">
      <w:r w:rsidRPr="000C7B6C">
        <w:rPr>
          <w:b/>
          <w:u w:val="single"/>
        </w:rPr>
        <w:lastRenderedPageBreak/>
        <w:t>Entsprechenserklärung und Abweichungen:</w:t>
      </w:r>
    </w:p>
    <w:p w14:paraId="3B7F3B83" w14:textId="77777777" w:rsidR="000C7B6C" w:rsidRDefault="000C7B6C" w:rsidP="000C7B6C"/>
    <w:p w14:paraId="1B1AE616" w14:textId="77777777" w:rsidR="000C7B6C" w:rsidRPr="000C7B6C" w:rsidRDefault="000C7B6C" w:rsidP="000C7B6C">
      <w:pPr>
        <w:jc w:val="both"/>
        <w:rPr>
          <w:sz w:val="20"/>
        </w:rPr>
      </w:pPr>
      <w:r w:rsidRPr="000C7B6C">
        <w:rPr>
          <w:sz w:val="20"/>
        </w:rPr>
        <w:t xml:space="preserve">Der GBV-CGK wird bei Kamptal angewandt und nach Maßgabe der Ausführungen in diesem Bericht eingehalten. Die Anwendung des GBV-CGK bildet für Kamptal einen wesentlichen Baustein hinsichtlich der Stärkung des Vertrauens der Eigentümer, der GeschäftspartnerInnen, der KundInnen und MitarbeiterInnen sowie der Öffentlichkeit in das Unternehmen. </w:t>
      </w:r>
    </w:p>
    <w:p w14:paraId="71F99722" w14:textId="77777777" w:rsidR="000C7B6C" w:rsidRPr="000C7B6C" w:rsidRDefault="000C7B6C" w:rsidP="000C7B6C">
      <w:pPr>
        <w:jc w:val="both"/>
        <w:rPr>
          <w:sz w:val="20"/>
        </w:rPr>
      </w:pPr>
    </w:p>
    <w:p w14:paraId="0F27D596" w14:textId="698B2860" w:rsidR="000C7B6C" w:rsidRPr="000C7B6C" w:rsidRDefault="000C7B6C" w:rsidP="000C7B6C">
      <w:pPr>
        <w:jc w:val="both"/>
        <w:rPr>
          <w:sz w:val="20"/>
        </w:rPr>
      </w:pPr>
      <w:r w:rsidRPr="000C7B6C">
        <w:rPr>
          <w:sz w:val="20"/>
        </w:rPr>
        <w:t>Im Geschäftsjahr 202</w:t>
      </w:r>
      <w:r w:rsidR="00D95426">
        <w:rPr>
          <w:sz w:val="20"/>
        </w:rPr>
        <w:t>5</w:t>
      </w:r>
      <w:r w:rsidRPr="000C7B6C">
        <w:rPr>
          <w:sz w:val="20"/>
        </w:rPr>
        <w:t xml:space="preserve"> gab es folgende Abweichungen:</w:t>
      </w:r>
    </w:p>
    <w:p w14:paraId="06399411" w14:textId="77777777" w:rsidR="000C7B6C" w:rsidRPr="000C7B6C" w:rsidRDefault="000C7B6C" w:rsidP="000C7B6C">
      <w:pPr>
        <w:jc w:val="both"/>
        <w:rPr>
          <w:sz w:val="20"/>
        </w:rPr>
      </w:pPr>
    </w:p>
    <w:p w14:paraId="69F208F8" w14:textId="09B94F24" w:rsidR="000C7B6C" w:rsidRPr="000C7B6C" w:rsidRDefault="00952249" w:rsidP="000C7B6C">
      <w:pPr>
        <w:jc w:val="both"/>
        <w:rPr>
          <w:sz w:val="20"/>
        </w:rPr>
      </w:pPr>
      <w:r>
        <w:rPr>
          <w:sz w:val="20"/>
        </w:rPr>
        <w:t>Der Aufsichtsrat besteht zum Stichtag 31.12.202</w:t>
      </w:r>
      <w:r w:rsidR="00813024">
        <w:rPr>
          <w:sz w:val="20"/>
        </w:rPr>
        <w:t>5</w:t>
      </w:r>
      <w:r>
        <w:rPr>
          <w:sz w:val="20"/>
        </w:rPr>
        <w:t xml:space="preserve"> aus 5 Mitgliedern. Unter dem Gesichtspunkt der Diversität ist zu berichten, dass sich unter den 5 Mitgliedern des Aufsichtsrates zwei Frauen befinden. Der Frauenanteil liegt somit bei 40%. Besonders hervorzuheben ist, dass der Vorsitz des Aufsichtsrates mit einer Frau besetzt ist.</w:t>
      </w:r>
    </w:p>
    <w:p w14:paraId="054F0629" w14:textId="77777777" w:rsidR="000C7B6C" w:rsidRPr="000C7B6C" w:rsidRDefault="000C7B6C" w:rsidP="000C7B6C">
      <w:pPr>
        <w:jc w:val="both"/>
        <w:rPr>
          <w:sz w:val="20"/>
        </w:rPr>
      </w:pPr>
    </w:p>
    <w:p w14:paraId="43AC143B" w14:textId="77777777" w:rsidR="000C7B6C" w:rsidRDefault="000C7B6C" w:rsidP="000C7B6C">
      <w:pPr>
        <w:jc w:val="both"/>
        <w:rPr>
          <w:sz w:val="20"/>
        </w:rPr>
      </w:pPr>
      <w:r w:rsidRPr="000C7B6C">
        <w:rPr>
          <w:sz w:val="20"/>
        </w:rPr>
        <w:t>Gemäß Punkt 5.3. soll die Geschäftsführung den Jahresabschluss mindestens zwei Wochen vor der Aufsichtsratssitzung, die über den Jahresabschluss berät, übermitteln, damit der Jahresabschluss gegebenenfalls unter Beiziehung des Abschlussprüfers erörtert werden kann. Bei Kamptal werden die Sitzungsunterlagen für alle Aufsichtsratssitzungen eine Woche vor Sitzungstermin an die Teilnehmer der Aufsichtsratssitzung übermittelt. Um eine geschlossene Übermittlung der Unterlagen beizubehalten, wird diese Bestimmung nicht eingehalten.</w:t>
      </w:r>
    </w:p>
    <w:p w14:paraId="3B910442" w14:textId="77777777" w:rsidR="00B13BE4" w:rsidRDefault="00B13BE4" w:rsidP="000C7B6C">
      <w:pPr>
        <w:jc w:val="both"/>
        <w:rPr>
          <w:sz w:val="20"/>
        </w:rPr>
      </w:pPr>
    </w:p>
    <w:p w14:paraId="08B3D8E9" w14:textId="77777777" w:rsidR="00E40ED4" w:rsidRPr="000C7B6C" w:rsidRDefault="00E40ED4" w:rsidP="00E40ED4">
      <w:pPr>
        <w:jc w:val="both"/>
        <w:rPr>
          <w:sz w:val="20"/>
        </w:rPr>
      </w:pPr>
      <w:r w:rsidRPr="00B13BE4">
        <w:rPr>
          <w:sz w:val="20"/>
        </w:rPr>
        <w:t>Gemäß Punkt 13. Sind im CG-Bericht in Bezug auf die Geschäftsführung die Gesamtbezüge/Vergütungen anzugeben. Betreffen die Angaben zu Vergütungen Bezüge weniger als 3 Personen, so dürfen diese</w:t>
      </w:r>
      <w:r>
        <w:rPr>
          <w:sz w:val="20"/>
        </w:rPr>
        <w:t xml:space="preserve"> gemäß §242 (4) UGB </w:t>
      </w:r>
      <w:r w:rsidRPr="00B13BE4">
        <w:rPr>
          <w:sz w:val="20"/>
        </w:rPr>
        <w:t>unterbleiben. Da sich bei Kamptal weniger als drei Personen in der Geschäftsführung befinden, wird auf den Ausweis dieser Angabe verzichtet.</w:t>
      </w:r>
    </w:p>
    <w:p w14:paraId="23F688F8" w14:textId="77777777" w:rsidR="00352D67" w:rsidRDefault="00352D67" w:rsidP="00752F1D"/>
    <w:p w14:paraId="43F15E85" w14:textId="77777777" w:rsidR="00A2328A" w:rsidRDefault="00A2328A" w:rsidP="00752F1D"/>
    <w:p w14:paraId="1DC3F8A6" w14:textId="77777777" w:rsidR="00752F1D" w:rsidRPr="00D53CAF" w:rsidRDefault="00D53CAF" w:rsidP="00752F1D">
      <w:pPr>
        <w:jc w:val="both"/>
        <w:rPr>
          <w:b/>
          <w:u w:val="single"/>
        </w:rPr>
      </w:pPr>
      <w:r w:rsidRPr="00D53CAF">
        <w:rPr>
          <w:b/>
          <w:u w:val="single"/>
        </w:rPr>
        <w:t>Angabe des wirtschaftlichen Eigentümers und Offenlegung von Treuhandschaften</w:t>
      </w:r>
      <w:r w:rsidR="00752F1D" w:rsidRPr="00D53CAF">
        <w:rPr>
          <w:b/>
          <w:u w:val="single"/>
        </w:rPr>
        <w:t>:</w:t>
      </w:r>
    </w:p>
    <w:p w14:paraId="0226B41A" w14:textId="77777777" w:rsidR="00D53CAF" w:rsidRDefault="00D53CAF" w:rsidP="00752F1D">
      <w:pPr>
        <w:jc w:val="both"/>
      </w:pPr>
    </w:p>
    <w:p w14:paraId="21D7FAFA" w14:textId="77777777" w:rsidR="007568FF" w:rsidRPr="00DB4904" w:rsidRDefault="007568FF" w:rsidP="00752F1D">
      <w:pPr>
        <w:jc w:val="both"/>
      </w:pPr>
    </w:p>
    <w:p w14:paraId="75C3FEC5" w14:textId="77777777" w:rsidR="00D53CAF" w:rsidRPr="007568FF" w:rsidRDefault="00D53CAF" w:rsidP="00D53CAF">
      <w:pPr>
        <w:jc w:val="both"/>
        <w:rPr>
          <w:rFonts w:cs="Helvetica"/>
          <w:color w:val="0A0A0A"/>
          <w:sz w:val="20"/>
        </w:rPr>
      </w:pPr>
      <w:r w:rsidRPr="007568FF">
        <w:rPr>
          <w:rFonts w:cs="Helvetica"/>
          <w:color w:val="0A0A0A"/>
          <w:sz w:val="20"/>
        </w:rPr>
        <w:t xml:space="preserve">Das wirtschaftliche Eigentümer Registergesetz WiEReG ist am 15.01.2018 in Kraft getreten. Mit dem WiEReG wurden europäische Regelungen zur Vermeidung der Geldwäsche und Terrorismusfinanzierung für Österreich umgesetzt. </w:t>
      </w:r>
    </w:p>
    <w:p w14:paraId="7B11B403" w14:textId="77777777" w:rsidR="00D53CAF" w:rsidRPr="007568FF" w:rsidRDefault="00D53CAF" w:rsidP="00752F1D">
      <w:pPr>
        <w:jc w:val="both"/>
        <w:rPr>
          <w:rFonts w:cs="Helvetica"/>
          <w:color w:val="0A0A0A"/>
          <w:sz w:val="20"/>
        </w:rPr>
      </w:pPr>
    </w:p>
    <w:p w14:paraId="7133DF62" w14:textId="77777777" w:rsidR="00752F1D" w:rsidRPr="007568FF" w:rsidRDefault="00752F1D" w:rsidP="00752F1D">
      <w:pPr>
        <w:jc w:val="both"/>
        <w:rPr>
          <w:rFonts w:cs="Helvetica"/>
          <w:color w:val="0A0A0A"/>
          <w:sz w:val="20"/>
        </w:rPr>
      </w:pPr>
      <w:r w:rsidRPr="007568FF">
        <w:rPr>
          <w:rFonts w:cs="Helvetica"/>
          <w:color w:val="0A0A0A"/>
          <w:sz w:val="20"/>
        </w:rPr>
        <w:t xml:space="preserve">Bei </w:t>
      </w:r>
      <w:r w:rsidR="00BB05E7" w:rsidRPr="007568FF">
        <w:rPr>
          <w:rFonts w:cs="Helvetica"/>
          <w:color w:val="0A0A0A"/>
          <w:sz w:val="20"/>
        </w:rPr>
        <w:t>Gesellschaften mit beschränkter Haftung</w:t>
      </w:r>
      <w:r w:rsidRPr="007568FF">
        <w:rPr>
          <w:rFonts w:cs="Helvetica"/>
          <w:color w:val="0A0A0A"/>
          <w:sz w:val="20"/>
        </w:rPr>
        <w:t xml:space="preserve">, bei denen kein </w:t>
      </w:r>
      <w:r w:rsidR="00BB05E7" w:rsidRPr="007568FF">
        <w:rPr>
          <w:rFonts w:cs="Helvetica"/>
          <w:color w:val="0A0A0A"/>
          <w:sz w:val="20"/>
        </w:rPr>
        <w:t>Gesellschafter (als natürliche Person)</w:t>
      </w:r>
      <w:r w:rsidRPr="007568FF">
        <w:rPr>
          <w:rFonts w:cs="Helvetica"/>
          <w:color w:val="0A0A0A"/>
          <w:sz w:val="20"/>
        </w:rPr>
        <w:t xml:space="preserve"> einen Geschäftsanteil von mehr als 25% hält und keine weiteren Anhaltspunkte vorliegen, dass die </w:t>
      </w:r>
      <w:r w:rsidR="00BB05E7" w:rsidRPr="007568FF">
        <w:rPr>
          <w:rFonts w:cs="Helvetica"/>
          <w:color w:val="0A0A0A"/>
          <w:sz w:val="20"/>
        </w:rPr>
        <w:t>Gesellschafter</w:t>
      </w:r>
      <w:r w:rsidRPr="007568FF">
        <w:rPr>
          <w:rFonts w:cs="Helvetica"/>
          <w:color w:val="0A0A0A"/>
          <w:sz w:val="20"/>
        </w:rPr>
        <w:t xml:space="preserve"> direkt oder indirekt unter der Kontrolle einer oder mehrerer anderer natürlichen Personen steht, gelten die Mitglieder der obersten Führungsebene als wirtschaftliche Eigentümer (</w:t>
      </w:r>
      <w:r w:rsidR="00673067" w:rsidRPr="007568FF">
        <w:rPr>
          <w:rFonts w:cs="Helvetica"/>
          <w:color w:val="0A0A0A"/>
          <w:sz w:val="20"/>
        </w:rPr>
        <w:t>WiEReG § 2 Abs. 1 b</w:t>
      </w:r>
      <w:r w:rsidRPr="007568FF">
        <w:rPr>
          <w:rFonts w:cs="Helvetica"/>
          <w:color w:val="0A0A0A"/>
          <w:sz w:val="20"/>
        </w:rPr>
        <w:t>).</w:t>
      </w:r>
    </w:p>
    <w:p w14:paraId="6E0D9C06" w14:textId="77777777" w:rsidR="00752F1D" w:rsidRPr="007568FF" w:rsidRDefault="00752F1D" w:rsidP="00752F1D">
      <w:pPr>
        <w:jc w:val="both"/>
        <w:rPr>
          <w:rFonts w:cs="Helvetica"/>
          <w:color w:val="0A0A0A"/>
          <w:sz w:val="20"/>
          <w:lang w:eastAsia="de-AT"/>
        </w:rPr>
      </w:pPr>
      <w:r w:rsidRPr="007568FF">
        <w:rPr>
          <w:rFonts w:cs="Helvetica"/>
          <w:color w:val="0A0A0A"/>
          <w:sz w:val="20"/>
          <w:lang w:eastAsia="de-AT"/>
        </w:rPr>
        <w:t xml:space="preserve">Gemäß </w:t>
      </w:r>
      <w:r w:rsidR="00FA4F2D" w:rsidRPr="007568FF">
        <w:rPr>
          <w:rFonts w:cs="Helvetica"/>
          <w:color w:val="0A0A0A"/>
          <w:sz w:val="20"/>
          <w:lang w:eastAsia="de-AT"/>
        </w:rPr>
        <w:t>Gesellschaftsvertrag</w:t>
      </w:r>
      <w:r w:rsidRPr="007568FF">
        <w:rPr>
          <w:rFonts w:cs="Helvetica"/>
          <w:color w:val="0A0A0A"/>
          <w:sz w:val="20"/>
          <w:lang w:eastAsia="de-AT"/>
        </w:rPr>
        <w:t xml:space="preserve"> ist </w:t>
      </w:r>
      <w:r w:rsidRPr="007568FF">
        <w:rPr>
          <w:rFonts w:cs="Helvetica"/>
          <w:color w:val="0A0A0A"/>
          <w:sz w:val="20"/>
          <w:lang w:val="en-US" w:eastAsia="de-AT"/>
        </w:rPr>
        <w:t>das oberste</w:t>
      </w:r>
      <w:r w:rsidRPr="007568FF">
        <w:rPr>
          <w:rFonts w:cs="Helvetica"/>
          <w:color w:val="0A0A0A"/>
          <w:sz w:val="20"/>
          <w:lang w:eastAsia="de-AT"/>
        </w:rPr>
        <w:t xml:space="preserve"> Führungsorgan d</w:t>
      </w:r>
      <w:r w:rsidRPr="007568FF">
        <w:rPr>
          <w:rFonts w:cs="Helvetica"/>
          <w:color w:val="0A0A0A"/>
          <w:sz w:val="20"/>
          <w:lang w:val="en-US" w:eastAsia="de-AT"/>
        </w:rPr>
        <w:t>ie Geschäftsführung.</w:t>
      </w:r>
    </w:p>
    <w:p w14:paraId="1B2781E6" w14:textId="77777777" w:rsidR="00752F1D" w:rsidRDefault="00752F1D" w:rsidP="00752F1D">
      <w:pPr>
        <w:jc w:val="both"/>
        <w:rPr>
          <w:rFonts w:cs="Helvetica"/>
          <w:color w:val="0A0A0A"/>
          <w:lang w:eastAsia="de-AT"/>
        </w:rPr>
      </w:pPr>
    </w:p>
    <w:p w14:paraId="55AF27CD" w14:textId="77777777" w:rsidR="007568FF" w:rsidRDefault="007568FF" w:rsidP="00752F1D">
      <w:pPr>
        <w:jc w:val="both"/>
        <w:rPr>
          <w:rFonts w:cs="Helvetica"/>
          <w:color w:val="0A0A0A"/>
          <w:lang w:eastAsia="de-AT"/>
        </w:rPr>
      </w:pPr>
    </w:p>
    <w:p w14:paraId="3B96B5BF" w14:textId="77777777" w:rsidR="007D6864" w:rsidRPr="007568FF" w:rsidRDefault="007D6864" w:rsidP="007D6864">
      <w:pPr>
        <w:rPr>
          <w:sz w:val="20"/>
        </w:rPr>
      </w:pPr>
      <w:r w:rsidRPr="007568FF">
        <w:rPr>
          <w:sz w:val="20"/>
        </w:rPr>
        <w:t>GESELLSCHAFTER:</w:t>
      </w:r>
    </w:p>
    <w:p w14:paraId="1FC724CC" w14:textId="77777777" w:rsidR="004D6A33" w:rsidRPr="007568FF" w:rsidRDefault="004D6A33" w:rsidP="007D6864">
      <w:pPr>
        <w:rPr>
          <w:sz w:val="12"/>
        </w:rPr>
      </w:pPr>
    </w:p>
    <w:p w14:paraId="35DB79BB" w14:textId="77777777" w:rsidR="007D6864" w:rsidRPr="007568FF" w:rsidRDefault="007D6864" w:rsidP="007D6864">
      <w:pPr>
        <w:spacing w:line="360" w:lineRule="auto"/>
        <w:ind w:left="567"/>
        <w:rPr>
          <w:rFonts w:cs="Helvetica"/>
          <w:color w:val="0A0A0A"/>
          <w:sz w:val="20"/>
          <w:lang w:val="en-US" w:eastAsia="de-AT"/>
        </w:rPr>
      </w:pPr>
      <w:r w:rsidRPr="007568FF">
        <w:rPr>
          <w:rFonts w:cs="Helvetica"/>
          <w:color w:val="0A0A0A"/>
          <w:sz w:val="20"/>
          <w:lang w:val="en-US" w:eastAsia="de-AT"/>
        </w:rPr>
        <w:t>Gemeinnützige Bau-, Wohn- und Siedlungsgenossenschaft Alpenland, reg.Gen.m.b.H.</w:t>
      </w:r>
    </w:p>
    <w:p w14:paraId="3FD9C9AF" w14:textId="77777777" w:rsidR="007D6864" w:rsidRPr="007568FF" w:rsidRDefault="007D6864" w:rsidP="007D6864">
      <w:pPr>
        <w:spacing w:line="360" w:lineRule="auto"/>
        <w:ind w:left="567"/>
        <w:rPr>
          <w:rFonts w:cs="Helvetica"/>
          <w:color w:val="0A0A0A"/>
          <w:sz w:val="20"/>
          <w:lang w:eastAsia="de-AT"/>
        </w:rPr>
      </w:pPr>
      <w:r w:rsidRPr="007568FF">
        <w:rPr>
          <w:rFonts w:cs="Helvetica"/>
          <w:color w:val="0A0A0A"/>
          <w:sz w:val="20"/>
          <w:lang w:val="en-US" w:eastAsia="de-AT"/>
        </w:rPr>
        <w:t>3100 St.Pölten, Siegfried Ludwig-Platz 1</w:t>
      </w:r>
      <w:r w:rsidR="00160A51">
        <w:rPr>
          <w:rFonts w:cs="Helvetica"/>
          <w:color w:val="0A0A0A"/>
          <w:sz w:val="20"/>
          <w:lang w:val="en-US" w:eastAsia="de-AT"/>
        </w:rPr>
        <w:t xml:space="preserve"> (Anteil 100%)</w:t>
      </w:r>
    </w:p>
    <w:p w14:paraId="211B14BE" w14:textId="77777777" w:rsidR="00752F1D" w:rsidRDefault="00752F1D" w:rsidP="00752F1D">
      <w:pPr>
        <w:jc w:val="both"/>
        <w:rPr>
          <w:rFonts w:cs="Helvetica"/>
          <w:color w:val="0A0A0A"/>
          <w:sz w:val="20"/>
          <w:lang w:eastAsia="de-AT"/>
        </w:rPr>
      </w:pPr>
      <w:r w:rsidRPr="007568FF">
        <w:rPr>
          <w:rFonts w:cs="Helvetica"/>
          <w:color w:val="0A0A0A"/>
          <w:sz w:val="20"/>
          <w:lang w:eastAsia="de-AT"/>
        </w:rPr>
        <w:t xml:space="preserve"> </w:t>
      </w:r>
    </w:p>
    <w:p w14:paraId="26F79285" w14:textId="77777777" w:rsidR="007568FF" w:rsidRPr="007568FF" w:rsidRDefault="007568FF" w:rsidP="00752F1D">
      <w:pPr>
        <w:jc w:val="both"/>
        <w:rPr>
          <w:rFonts w:cs="Helvetica"/>
          <w:color w:val="0A0A0A"/>
          <w:sz w:val="20"/>
        </w:rPr>
      </w:pPr>
    </w:p>
    <w:p w14:paraId="02BCB576" w14:textId="77777777" w:rsidR="00752F1D" w:rsidRPr="007568FF" w:rsidRDefault="00752F1D" w:rsidP="00752F1D">
      <w:pPr>
        <w:rPr>
          <w:sz w:val="20"/>
        </w:rPr>
      </w:pPr>
      <w:r w:rsidRPr="007568FF">
        <w:rPr>
          <w:sz w:val="20"/>
        </w:rPr>
        <w:t>ZUSAMMENSETZUNG DE</w:t>
      </w:r>
      <w:r w:rsidR="00896929" w:rsidRPr="007568FF">
        <w:rPr>
          <w:sz w:val="20"/>
        </w:rPr>
        <w:t>R</w:t>
      </w:r>
      <w:r w:rsidRPr="007568FF">
        <w:rPr>
          <w:sz w:val="20"/>
        </w:rPr>
        <w:t xml:space="preserve"> </w:t>
      </w:r>
      <w:r w:rsidR="00896929" w:rsidRPr="007568FF">
        <w:rPr>
          <w:sz w:val="20"/>
        </w:rPr>
        <w:t>GESCHÄFTSFÜHRUNG</w:t>
      </w:r>
      <w:r w:rsidRPr="007568FF">
        <w:rPr>
          <w:sz w:val="20"/>
        </w:rPr>
        <w:t>:</w:t>
      </w:r>
    </w:p>
    <w:p w14:paraId="1C8A2BBD" w14:textId="77777777" w:rsidR="00752F1D" w:rsidRPr="007568FF" w:rsidRDefault="00752F1D" w:rsidP="00752F1D">
      <w:pPr>
        <w:rPr>
          <w:sz w:val="14"/>
        </w:rPr>
      </w:pPr>
    </w:p>
    <w:p w14:paraId="7BBCAA28" w14:textId="77777777" w:rsidR="00752F1D" w:rsidRPr="007568FF" w:rsidRDefault="00752F1D" w:rsidP="00752F1D">
      <w:pPr>
        <w:spacing w:line="360" w:lineRule="auto"/>
        <w:ind w:left="567"/>
        <w:rPr>
          <w:rFonts w:cs="Helvetica"/>
          <w:color w:val="0A0A0A"/>
          <w:sz w:val="20"/>
          <w:lang w:eastAsia="de-AT"/>
        </w:rPr>
      </w:pPr>
      <w:r w:rsidRPr="007568FF">
        <w:rPr>
          <w:rFonts w:cs="Helvetica"/>
          <w:color w:val="0A0A0A"/>
          <w:sz w:val="20"/>
          <w:lang w:val="en-US" w:eastAsia="de-AT"/>
        </w:rPr>
        <w:t>Wolfgang Berger</w:t>
      </w:r>
      <w:r w:rsidRPr="007568FF">
        <w:rPr>
          <w:rFonts w:cs="Helvetica"/>
          <w:color w:val="0A0A0A"/>
          <w:sz w:val="20"/>
          <w:lang w:eastAsia="de-AT"/>
        </w:rPr>
        <w:t>, geb. 16.</w:t>
      </w:r>
      <w:r w:rsidRPr="007568FF">
        <w:rPr>
          <w:rFonts w:cs="Helvetica"/>
          <w:color w:val="0A0A0A"/>
          <w:sz w:val="20"/>
          <w:lang w:val="en-US" w:eastAsia="de-AT"/>
        </w:rPr>
        <w:t>08.1972</w:t>
      </w:r>
      <w:r w:rsidRPr="007568FF">
        <w:rPr>
          <w:rFonts w:cs="Helvetica"/>
          <w:color w:val="0A0A0A"/>
          <w:sz w:val="20"/>
          <w:lang w:eastAsia="de-AT"/>
        </w:rPr>
        <w:t xml:space="preserve"> </w:t>
      </w:r>
    </w:p>
    <w:p w14:paraId="0FD8AFBA" w14:textId="77777777" w:rsidR="00796B2E" w:rsidRPr="007568FF" w:rsidRDefault="00796B2E" w:rsidP="00752F1D">
      <w:pPr>
        <w:spacing w:line="360" w:lineRule="auto"/>
        <w:ind w:left="567"/>
        <w:rPr>
          <w:rFonts w:cs="Helvetica"/>
          <w:color w:val="0A0A0A"/>
          <w:sz w:val="20"/>
          <w:lang w:eastAsia="de-AT"/>
        </w:rPr>
      </w:pPr>
      <w:r w:rsidRPr="007568FF">
        <w:rPr>
          <w:rFonts w:cs="Helvetica"/>
          <w:color w:val="0A0A0A"/>
          <w:sz w:val="20"/>
          <w:lang w:eastAsia="de-AT"/>
        </w:rPr>
        <w:t xml:space="preserve">Ing. Johannes Ott MSc, geb. </w:t>
      </w:r>
      <w:r w:rsidR="00F13E0C" w:rsidRPr="007568FF">
        <w:rPr>
          <w:rFonts w:cs="Helvetica"/>
          <w:color w:val="0A0A0A"/>
          <w:sz w:val="20"/>
          <w:lang w:eastAsia="de-AT"/>
        </w:rPr>
        <w:t>21.07.1964</w:t>
      </w:r>
    </w:p>
    <w:p w14:paraId="06DA3B54" w14:textId="77777777" w:rsidR="007568FF" w:rsidRPr="007568FF" w:rsidRDefault="007568FF" w:rsidP="000E594D">
      <w:pPr>
        <w:rPr>
          <w:sz w:val="20"/>
          <w:lang w:eastAsia="de-AT"/>
        </w:rPr>
      </w:pPr>
    </w:p>
    <w:p w14:paraId="7D22C74D" w14:textId="77777777" w:rsidR="000E594D" w:rsidRPr="007568FF" w:rsidRDefault="000E594D" w:rsidP="000E594D">
      <w:pPr>
        <w:rPr>
          <w:sz w:val="20"/>
          <w:lang w:eastAsia="de-AT"/>
        </w:rPr>
      </w:pPr>
    </w:p>
    <w:p w14:paraId="3A44C13F" w14:textId="77777777" w:rsidR="00752F1D" w:rsidRPr="007568FF" w:rsidRDefault="00752F1D" w:rsidP="00752F1D">
      <w:pPr>
        <w:spacing w:line="360" w:lineRule="auto"/>
        <w:rPr>
          <w:sz w:val="20"/>
          <w:lang w:eastAsia="de-AT"/>
        </w:rPr>
      </w:pPr>
      <w:r w:rsidRPr="007568FF">
        <w:rPr>
          <w:sz w:val="20"/>
          <w:lang w:eastAsia="de-AT"/>
        </w:rPr>
        <w:t>OFFENLEGUNG VON TREUHANDSCHAFTEN:</w:t>
      </w:r>
    </w:p>
    <w:p w14:paraId="7AB6537E" w14:textId="0272FFA2" w:rsidR="00387324" w:rsidRPr="007568FF" w:rsidRDefault="00796B2E" w:rsidP="007D6864">
      <w:pPr>
        <w:spacing w:line="360" w:lineRule="auto"/>
        <w:rPr>
          <w:sz w:val="20"/>
          <w:lang w:eastAsia="de-AT"/>
        </w:rPr>
      </w:pPr>
      <w:r w:rsidRPr="007568FF">
        <w:rPr>
          <w:sz w:val="20"/>
          <w:lang w:eastAsia="de-AT"/>
        </w:rPr>
        <w:t>Im Geschäftsjahr 202</w:t>
      </w:r>
      <w:r w:rsidR="00813024">
        <w:rPr>
          <w:sz w:val="20"/>
          <w:lang w:eastAsia="de-AT"/>
        </w:rPr>
        <w:t>5</w:t>
      </w:r>
      <w:r w:rsidR="00752F1D" w:rsidRPr="007568FF">
        <w:rPr>
          <w:sz w:val="20"/>
          <w:lang w:eastAsia="de-AT"/>
        </w:rPr>
        <w:t xml:space="preserve"> </w:t>
      </w:r>
      <w:r w:rsidR="00D53CAF" w:rsidRPr="007568FF">
        <w:rPr>
          <w:sz w:val="20"/>
          <w:lang w:eastAsia="de-AT"/>
        </w:rPr>
        <w:t>verfügt die Kamptal über</w:t>
      </w:r>
      <w:r w:rsidR="00752F1D" w:rsidRPr="007568FF">
        <w:rPr>
          <w:sz w:val="20"/>
          <w:lang w:eastAsia="de-AT"/>
        </w:rPr>
        <w:t xml:space="preserve"> keine Treuhandschaften.</w:t>
      </w:r>
    </w:p>
    <w:p w14:paraId="3FADFF29" w14:textId="77777777" w:rsidR="00387324" w:rsidRDefault="00387324" w:rsidP="007D6864">
      <w:pPr>
        <w:spacing w:line="360" w:lineRule="auto"/>
        <w:rPr>
          <w:lang w:eastAsia="de-AT"/>
        </w:rPr>
      </w:pPr>
    </w:p>
    <w:p w14:paraId="1122A170" w14:textId="77777777" w:rsidR="00A2328A" w:rsidRDefault="00A2328A" w:rsidP="007D6864">
      <w:pPr>
        <w:spacing w:line="360" w:lineRule="auto"/>
        <w:rPr>
          <w:lang w:eastAsia="de-AT"/>
        </w:rPr>
      </w:pPr>
    </w:p>
    <w:p w14:paraId="7897FB7C" w14:textId="77777777" w:rsidR="00387324" w:rsidRPr="00387324" w:rsidRDefault="00387324" w:rsidP="00387324">
      <w:pPr>
        <w:rPr>
          <w:rFonts w:cs="Helvetica"/>
          <w:b/>
          <w:color w:val="0A0A0A"/>
          <w:u w:val="single"/>
        </w:rPr>
      </w:pPr>
      <w:r w:rsidRPr="00387324">
        <w:rPr>
          <w:rFonts w:cs="Helvetica"/>
          <w:b/>
          <w:color w:val="0A0A0A"/>
          <w:u w:val="single"/>
        </w:rPr>
        <w:lastRenderedPageBreak/>
        <w:t>Zusammensetzung, Aufgabenverteilung und Arbeitsweise der Geschäftsführung und des Aufsichtsrates</w:t>
      </w:r>
      <w:r>
        <w:rPr>
          <w:rFonts w:cs="Helvetica"/>
          <w:b/>
          <w:color w:val="0A0A0A"/>
          <w:u w:val="single"/>
        </w:rPr>
        <w:t>:</w:t>
      </w:r>
    </w:p>
    <w:p w14:paraId="7997ADEB" w14:textId="77777777" w:rsidR="00387324" w:rsidRPr="00387324" w:rsidRDefault="00387324" w:rsidP="00387324">
      <w:pPr>
        <w:pStyle w:val="Listenabsatz"/>
        <w:rPr>
          <w:rFonts w:ascii="Arial" w:eastAsia="Times New Roman" w:hAnsi="Arial" w:cs="Helvetica"/>
          <w:color w:val="0A0A0A"/>
          <w:szCs w:val="20"/>
          <w:lang w:val="de-DE" w:eastAsia="de-DE"/>
        </w:rPr>
      </w:pPr>
    </w:p>
    <w:p w14:paraId="4AF80389" w14:textId="77777777" w:rsidR="00387324" w:rsidRPr="007568FF" w:rsidRDefault="00387324" w:rsidP="00387324">
      <w:pPr>
        <w:jc w:val="both"/>
        <w:rPr>
          <w:rFonts w:cs="Helvetica"/>
          <w:color w:val="0A0A0A"/>
          <w:sz w:val="20"/>
        </w:rPr>
      </w:pPr>
      <w:r w:rsidRPr="007568FF">
        <w:rPr>
          <w:rFonts w:cs="Helvetica"/>
          <w:color w:val="0A0A0A"/>
          <w:sz w:val="20"/>
        </w:rPr>
        <w:t>Kamptal folgt zur Sicherstellung einer nachhaltigen, wertschaffenden Unternehmensentwicklung festgelegten Grundsätzen sowie den Prinzipien der Transparenz und einer offenen Kommunikationspolitik. Die unternehmensweiten Kompetenz- und Verantwortungsbereiche von Geschäftsführung und Aufsichtsrat sind neben den gesetzlichen Bestimmungen klar durch d</w:t>
      </w:r>
      <w:r w:rsidR="00FA4F2D" w:rsidRPr="007568FF">
        <w:rPr>
          <w:rFonts w:cs="Helvetica"/>
          <w:color w:val="0A0A0A"/>
          <w:sz w:val="20"/>
        </w:rPr>
        <w:t>en Gesellschaftsvertrag</w:t>
      </w:r>
      <w:r w:rsidR="00A2328A" w:rsidRPr="007568FF">
        <w:rPr>
          <w:rFonts w:cs="Helvetica"/>
          <w:color w:val="0A0A0A"/>
          <w:sz w:val="20"/>
        </w:rPr>
        <w:t xml:space="preserve"> der</w:t>
      </w:r>
      <w:r w:rsidRPr="007568FF">
        <w:rPr>
          <w:rFonts w:cs="Helvetica"/>
          <w:color w:val="0A0A0A"/>
          <w:sz w:val="20"/>
        </w:rPr>
        <w:t xml:space="preserve"> Kamptal geregelt. Zudem werden die Aufgaben, Zuständigkeiten und Arbeitsweisen in den Geschäftsanweisungen der Geschäftsführung und des Aufsichtsrates sowie der Geschäftsverteilung für die Geschäftsführung konkretisiert. Auch sind darin die zustimmungspflichtigen Geschäfte sowie die Informations- und Berichtspflichten der Geschäftsführung definiert. </w:t>
      </w:r>
    </w:p>
    <w:p w14:paraId="27AC7FA7" w14:textId="77777777" w:rsidR="00A2328A" w:rsidRDefault="00A2328A" w:rsidP="00387324">
      <w:pPr>
        <w:jc w:val="both"/>
        <w:rPr>
          <w:rFonts w:cs="Helvetica"/>
          <w:color w:val="0A0A0A"/>
          <w:sz w:val="20"/>
        </w:rPr>
      </w:pPr>
    </w:p>
    <w:p w14:paraId="1FA9FE30" w14:textId="77777777" w:rsidR="007568FF" w:rsidRDefault="007568FF" w:rsidP="00387324">
      <w:pPr>
        <w:jc w:val="both"/>
        <w:rPr>
          <w:rFonts w:cs="Helvetica"/>
          <w:color w:val="0A0A0A"/>
          <w:sz w:val="20"/>
        </w:rPr>
      </w:pPr>
    </w:p>
    <w:p w14:paraId="57894D14" w14:textId="77777777" w:rsidR="008D723C" w:rsidRPr="007568FF" w:rsidRDefault="00387324" w:rsidP="00A2328A">
      <w:pPr>
        <w:rPr>
          <w:rFonts w:cs="Helvetica"/>
          <w:color w:val="0A0A0A"/>
          <w:u w:val="single"/>
        </w:rPr>
      </w:pPr>
      <w:r w:rsidRPr="007568FF">
        <w:rPr>
          <w:rFonts w:cs="Helvetica"/>
          <w:color w:val="0A0A0A"/>
          <w:u w:val="single"/>
        </w:rPr>
        <w:t>GESCHÄFTSFÜHRUNG</w:t>
      </w:r>
    </w:p>
    <w:p w14:paraId="495EE9B5" w14:textId="77777777" w:rsidR="00A2328A" w:rsidRPr="007568FF" w:rsidRDefault="00A2328A" w:rsidP="00A2328A">
      <w:pPr>
        <w:rPr>
          <w:rFonts w:cs="Helvetica"/>
          <w:color w:val="0A0A0A"/>
          <w:sz w:val="20"/>
        </w:rPr>
      </w:pPr>
    </w:p>
    <w:p w14:paraId="59389EBE" w14:textId="77777777" w:rsidR="00387324" w:rsidRPr="007568FF" w:rsidRDefault="00387324" w:rsidP="00387324">
      <w:pPr>
        <w:jc w:val="both"/>
        <w:rPr>
          <w:rFonts w:cs="Helvetica"/>
          <w:color w:val="0A0A0A"/>
          <w:sz w:val="20"/>
        </w:rPr>
      </w:pPr>
      <w:r w:rsidRPr="007568FF">
        <w:rPr>
          <w:rFonts w:cs="Helvetica"/>
          <w:color w:val="0A0A0A"/>
          <w:sz w:val="20"/>
        </w:rPr>
        <w:t>Die Geschäftsführung ist das geschäftsführende Organ der Gesell</w:t>
      </w:r>
      <w:r w:rsidR="00CD0BB6" w:rsidRPr="007568FF">
        <w:rPr>
          <w:rFonts w:cs="Helvetica"/>
          <w:color w:val="0A0A0A"/>
          <w:sz w:val="20"/>
        </w:rPr>
        <w:t>schaft, ihr</w:t>
      </w:r>
      <w:r w:rsidRPr="007568FF">
        <w:rPr>
          <w:rFonts w:cs="Helvetica"/>
          <w:color w:val="0A0A0A"/>
          <w:sz w:val="20"/>
        </w:rPr>
        <w:t xml:space="preserve"> obliegen die gesamte Verwaltung der Gesellschaft und ihrer Einrichtungen sowie die gerichtliche und außergerichtliche Vertretung.</w:t>
      </w:r>
    </w:p>
    <w:p w14:paraId="6C2EBEA1" w14:textId="77777777" w:rsidR="00387324" w:rsidRPr="007568FF" w:rsidRDefault="00387324" w:rsidP="00387324">
      <w:pPr>
        <w:jc w:val="both"/>
        <w:rPr>
          <w:rFonts w:cs="Helvetica"/>
          <w:color w:val="0A0A0A"/>
          <w:sz w:val="20"/>
        </w:rPr>
      </w:pPr>
      <w:r w:rsidRPr="007568FF">
        <w:rPr>
          <w:rFonts w:cs="Helvetica"/>
          <w:color w:val="0A0A0A"/>
          <w:sz w:val="20"/>
        </w:rPr>
        <w:t xml:space="preserve">Die Bestellung der Geschäftsführer erfolgt durch </w:t>
      </w:r>
      <w:r w:rsidR="008D723C" w:rsidRPr="007568FF">
        <w:rPr>
          <w:rFonts w:cs="Helvetica"/>
          <w:color w:val="0A0A0A"/>
          <w:sz w:val="20"/>
        </w:rPr>
        <w:t>die Generalversammlung</w:t>
      </w:r>
      <w:r w:rsidRPr="007568FF">
        <w:rPr>
          <w:rFonts w:cs="Helvetica"/>
          <w:color w:val="0A0A0A"/>
          <w:sz w:val="20"/>
        </w:rPr>
        <w:t>.</w:t>
      </w:r>
    </w:p>
    <w:p w14:paraId="58541DFF" w14:textId="77777777" w:rsidR="00387324" w:rsidRPr="007568FF" w:rsidRDefault="00387324" w:rsidP="00387324">
      <w:pPr>
        <w:jc w:val="both"/>
        <w:rPr>
          <w:rFonts w:cs="Helvetica"/>
          <w:color w:val="0A0A0A"/>
          <w:sz w:val="20"/>
        </w:rPr>
      </w:pPr>
      <w:r w:rsidRPr="007568FF">
        <w:rPr>
          <w:rFonts w:cs="Helvetica"/>
          <w:color w:val="0A0A0A"/>
          <w:sz w:val="20"/>
        </w:rPr>
        <w:t xml:space="preserve">Die von der Geschäftsführung beschlossene Geschäftsverteilung wird vom Aufsichtsrat genehmigt. </w:t>
      </w:r>
    </w:p>
    <w:p w14:paraId="2E0FB50D" w14:textId="77777777" w:rsidR="00387324" w:rsidRDefault="00387324" w:rsidP="00387324">
      <w:pPr>
        <w:jc w:val="both"/>
        <w:rPr>
          <w:rFonts w:cs="Helvetica"/>
          <w:color w:val="0A0A0A"/>
          <w:sz w:val="20"/>
        </w:rPr>
      </w:pPr>
      <w:r w:rsidRPr="007568FF">
        <w:rPr>
          <w:rFonts w:cs="Helvetica"/>
          <w:color w:val="0A0A0A"/>
          <w:sz w:val="20"/>
        </w:rPr>
        <w:t xml:space="preserve">Die Geschäftsanweisung für die Geschäftsführung regelt die Grundsätze der Zusammenarbeit der Geschäftsführung und beinhaltet darüber hinaus die Informations- und Berichtspflichten der Geschäftsführung sowie eine Auflistung jener Maßnahmen, die der Zustimmung durch den Aufsichtsrat bedürfen. </w:t>
      </w:r>
      <w:r w:rsidR="008D723C" w:rsidRPr="007568FF">
        <w:rPr>
          <w:rFonts w:cs="Helvetica"/>
          <w:color w:val="0A0A0A"/>
          <w:sz w:val="20"/>
        </w:rPr>
        <w:t>Die Geschäftsführung</w:t>
      </w:r>
      <w:r w:rsidRPr="007568FF">
        <w:rPr>
          <w:rFonts w:cs="Helvetica"/>
          <w:color w:val="0A0A0A"/>
          <w:sz w:val="20"/>
        </w:rPr>
        <w:t xml:space="preserve"> nimmt Kommunikationsaufgaben, die das Erscheinungsbild des Unternehmens für die Stakeholder wesentlich prägen, umfassend und selbst wahr.</w:t>
      </w:r>
    </w:p>
    <w:p w14:paraId="2BA17F67" w14:textId="77777777" w:rsidR="007568FF" w:rsidRDefault="007568FF" w:rsidP="00387324">
      <w:pPr>
        <w:jc w:val="both"/>
        <w:rPr>
          <w:rFonts w:cs="Helvetica"/>
          <w:color w:val="0A0A0A"/>
          <w:sz w:val="20"/>
        </w:rPr>
      </w:pPr>
    </w:p>
    <w:p w14:paraId="6DA1576D" w14:textId="77777777" w:rsidR="007568FF" w:rsidRPr="007568FF" w:rsidRDefault="007568FF" w:rsidP="00387324">
      <w:pPr>
        <w:jc w:val="both"/>
        <w:rPr>
          <w:rFonts w:cs="Helvetica"/>
          <w:color w:val="0A0A0A"/>
          <w:sz w:val="20"/>
        </w:rPr>
      </w:pPr>
    </w:p>
    <w:p w14:paraId="61A3D599" w14:textId="77777777" w:rsidR="00387324" w:rsidRPr="007568FF" w:rsidRDefault="00387324" w:rsidP="00387324">
      <w:pPr>
        <w:jc w:val="both"/>
        <w:rPr>
          <w:rFonts w:cs="Helvetica"/>
          <w:color w:val="0A0A0A"/>
          <w:sz w:val="20"/>
        </w:rPr>
      </w:pPr>
      <w:r w:rsidRPr="007568FF">
        <w:rPr>
          <w:rFonts w:cs="Helvetica"/>
          <w:color w:val="0A0A0A"/>
          <w:sz w:val="20"/>
        </w:rPr>
        <w:t>Die Zusammensetzung und Geschäftsverteilung de</w:t>
      </w:r>
      <w:r w:rsidR="008D723C" w:rsidRPr="007568FF">
        <w:rPr>
          <w:rFonts w:cs="Helvetica"/>
          <w:color w:val="0A0A0A"/>
          <w:sz w:val="20"/>
        </w:rPr>
        <w:t>r</w:t>
      </w:r>
      <w:r w:rsidRPr="007568FF">
        <w:rPr>
          <w:rFonts w:cs="Helvetica"/>
          <w:color w:val="0A0A0A"/>
          <w:sz w:val="20"/>
        </w:rPr>
        <w:t xml:space="preserve"> </w:t>
      </w:r>
      <w:r w:rsidR="008D723C" w:rsidRPr="007568FF">
        <w:rPr>
          <w:rFonts w:cs="Helvetica"/>
          <w:color w:val="0A0A0A"/>
          <w:sz w:val="20"/>
        </w:rPr>
        <w:t>Geschäftsführung</w:t>
      </w:r>
      <w:r w:rsidRPr="007568FF">
        <w:rPr>
          <w:rFonts w:cs="Helvetica"/>
          <w:color w:val="0A0A0A"/>
          <w:sz w:val="20"/>
        </w:rPr>
        <w:t xml:space="preserve"> ist wie folgt festgelegt:</w:t>
      </w:r>
    </w:p>
    <w:p w14:paraId="65464916" w14:textId="77777777" w:rsidR="00387324" w:rsidRDefault="00387324" w:rsidP="00387324"/>
    <w:p w14:paraId="546ED085" w14:textId="77777777" w:rsidR="008D723C" w:rsidRPr="00565160" w:rsidRDefault="008D723C" w:rsidP="00387324">
      <w:pPr>
        <w:rPr>
          <w:rFonts w:ascii="Calibri" w:hAnsi="Calibri" w:cs="Calibri"/>
          <w:bCs/>
          <w:color w:val="000000"/>
          <w:lang w:eastAsia="de-AT"/>
        </w:rPr>
      </w:pPr>
      <w:r w:rsidRPr="00BD7A0E">
        <w:rPr>
          <w:rFonts w:ascii="Calibri" w:hAnsi="Calibri" w:cs="Calibri"/>
          <w:bCs/>
          <w:color w:val="000000"/>
          <w:sz w:val="24"/>
          <w:lang w:eastAsia="de-AT"/>
        </w:rPr>
        <w:t>Wolfgang Berger, geb. 1972</w:t>
      </w:r>
      <w:r w:rsidR="00565160" w:rsidRPr="00BD7A0E">
        <w:rPr>
          <w:rFonts w:ascii="Calibri" w:hAnsi="Calibri" w:cs="Calibri"/>
          <w:bCs/>
          <w:color w:val="000000"/>
          <w:sz w:val="24"/>
          <w:lang w:eastAsia="de-AT"/>
        </w:rPr>
        <w:tab/>
      </w:r>
      <w:r w:rsidR="00565160" w:rsidRPr="00BD7A0E">
        <w:rPr>
          <w:rFonts w:ascii="Calibri" w:hAnsi="Calibri" w:cs="Calibri"/>
          <w:bCs/>
          <w:color w:val="000000"/>
          <w:sz w:val="24"/>
          <w:lang w:eastAsia="de-AT"/>
        </w:rPr>
        <w:tab/>
      </w:r>
      <w:r w:rsidR="00A92C5E" w:rsidRPr="00BD7A0E">
        <w:rPr>
          <w:rFonts w:ascii="Calibri" w:hAnsi="Calibri" w:cs="Calibri"/>
          <w:bCs/>
          <w:color w:val="000000"/>
          <w:sz w:val="24"/>
          <w:lang w:eastAsia="de-AT"/>
        </w:rPr>
        <w:t xml:space="preserve">bestellt </w:t>
      </w:r>
      <w:r w:rsidR="00565160" w:rsidRPr="00BD7A0E">
        <w:rPr>
          <w:rFonts w:ascii="Calibri" w:hAnsi="Calibri" w:cs="Calibri"/>
          <w:bCs/>
          <w:color w:val="000000"/>
          <w:sz w:val="24"/>
          <w:lang w:eastAsia="de-AT"/>
        </w:rPr>
        <w:t xml:space="preserve">seit 1.1.2018 </w:t>
      </w:r>
      <w:r w:rsidR="00565160" w:rsidRPr="00565160">
        <w:rPr>
          <w:rFonts w:ascii="Calibri" w:hAnsi="Calibri" w:cs="Calibri"/>
          <w:bCs/>
          <w:color w:val="000000"/>
          <w:lang w:eastAsia="de-AT"/>
        </w:rPr>
        <w:tab/>
      </w:r>
      <w:r w:rsidR="00565160" w:rsidRPr="00565160">
        <w:rPr>
          <w:rFonts w:ascii="Calibri" w:hAnsi="Calibri" w:cs="Calibri"/>
          <w:bCs/>
          <w:color w:val="000000"/>
          <w:lang w:eastAsia="de-AT"/>
        </w:rPr>
        <w:tab/>
      </w:r>
    </w:p>
    <w:p w14:paraId="3A425E00" w14:textId="77777777" w:rsidR="00565160" w:rsidRPr="00565160" w:rsidRDefault="00A92C5E" w:rsidP="00A92C5E">
      <w:pPr>
        <w:ind w:firstLine="709"/>
        <w:rPr>
          <w:rFonts w:ascii="Calibri" w:hAnsi="Calibri" w:cs="Calibri"/>
          <w:bCs/>
          <w:color w:val="000000"/>
          <w:lang w:eastAsia="de-AT"/>
        </w:rPr>
      </w:pPr>
      <w:r>
        <w:rPr>
          <w:rFonts w:ascii="Calibri" w:hAnsi="Calibri" w:cs="Calibri"/>
          <w:bCs/>
          <w:color w:val="000000"/>
          <w:lang w:eastAsia="de-AT"/>
        </w:rPr>
        <w:t>z</w:t>
      </w:r>
      <w:r w:rsidR="00565160" w:rsidRPr="00565160">
        <w:rPr>
          <w:rFonts w:ascii="Calibri" w:hAnsi="Calibri" w:cs="Calibri"/>
          <w:bCs/>
          <w:color w:val="000000"/>
          <w:lang w:eastAsia="de-AT"/>
        </w:rPr>
        <w:t>uständig für Finanz- und Rechnungswesen, Verkauf/Marketing, Übereignungen</w:t>
      </w:r>
    </w:p>
    <w:p w14:paraId="1F1CFE1E" w14:textId="77777777" w:rsidR="007568FF" w:rsidRDefault="007568FF" w:rsidP="00387324">
      <w:pPr>
        <w:rPr>
          <w:rFonts w:ascii="Calibri" w:hAnsi="Calibri" w:cs="Calibri"/>
          <w:bCs/>
          <w:color w:val="000000"/>
          <w:lang w:eastAsia="de-AT"/>
        </w:rPr>
      </w:pPr>
    </w:p>
    <w:p w14:paraId="364D8FC1" w14:textId="77777777" w:rsidR="00565160" w:rsidRPr="00A92C5E" w:rsidRDefault="00565160" w:rsidP="00565160">
      <w:pPr>
        <w:ind w:firstLine="709"/>
        <w:rPr>
          <w:rFonts w:ascii="Calibri" w:hAnsi="Calibri" w:cs="Calibri"/>
          <w:b/>
          <w:bCs/>
          <w:color w:val="000000"/>
          <w:lang w:eastAsia="de-AT"/>
        </w:rPr>
      </w:pPr>
      <w:r w:rsidRPr="00A92C5E">
        <w:rPr>
          <w:rFonts w:ascii="Calibri" w:hAnsi="Calibri" w:cs="Calibri"/>
          <w:b/>
          <w:bCs/>
          <w:color w:val="000000"/>
          <w:lang w:eastAsia="de-AT"/>
        </w:rPr>
        <w:t>Aufsichtsratmandate und geschäftsführende Tätigkeiten in Beteiligungsunternehmen:</w:t>
      </w:r>
    </w:p>
    <w:p w14:paraId="5890A432" w14:textId="1D79CF52" w:rsidR="00565160" w:rsidRPr="00565160" w:rsidRDefault="00565160" w:rsidP="00565160">
      <w:pPr>
        <w:ind w:left="709"/>
        <w:rPr>
          <w:rFonts w:ascii="Calibri" w:hAnsi="Calibri" w:cs="Calibri"/>
          <w:bCs/>
          <w:color w:val="000000"/>
          <w:lang w:eastAsia="de-AT"/>
        </w:rPr>
      </w:pPr>
      <w:r>
        <w:rPr>
          <w:rFonts w:ascii="Calibri" w:hAnsi="Calibri" w:cs="Calibri"/>
          <w:bCs/>
          <w:color w:val="000000"/>
          <w:lang w:eastAsia="de-AT"/>
        </w:rPr>
        <w:t xml:space="preserve">Podyji bytova </w:t>
      </w:r>
      <w:r w:rsidR="00A92C5E">
        <w:rPr>
          <w:rFonts w:ascii="Calibri" w:hAnsi="Calibri" w:cs="Calibri"/>
          <w:bCs/>
          <w:color w:val="000000"/>
          <w:lang w:eastAsia="de-AT"/>
        </w:rPr>
        <w:t>vystavba s.r.o. (Tschechien)</w:t>
      </w:r>
      <w:r w:rsidRPr="00565160">
        <w:rPr>
          <w:rFonts w:ascii="Calibri" w:hAnsi="Calibri" w:cs="Calibri"/>
          <w:bCs/>
          <w:color w:val="000000"/>
          <w:lang w:eastAsia="de-AT"/>
        </w:rPr>
        <w:tab/>
      </w:r>
      <w:r w:rsidRPr="00565160">
        <w:rPr>
          <w:rFonts w:ascii="Calibri" w:hAnsi="Calibri" w:cs="Calibri"/>
          <w:bCs/>
          <w:color w:val="000000"/>
          <w:lang w:eastAsia="de-AT"/>
        </w:rPr>
        <w:tab/>
      </w:r>
      <w:r w:rsidRPr="00565160">
        <w:rPr>
          <w:rFonts w:ascii="Calibri" w:hAnsi="Calibri" w:cs="Calibri"/>
          <w:bCs/>
          <w:color w:val="000000"/>
          <w:lang w:eastAsia="de-AT"/>
        </w:rPr>
        <w:tab/>
        <w:t>Geschäftsführer</w:t>
      </w:r>
      <w:r w:rsidR="00813024">
        <w:rPr>
          <w:rFonts w:ascii="Calibri" w:hAnsi="Calibri" w:cs="Calibri"/>
          <w:bCs/>
          <w:color w:val="000000"/>
          <w:lang w:eastAsia="de-AT"/>
        </w:rPr>
        <w:t xml:space="preserve"> (bis 25.11.2025)</w:t>
      </w:r>
    </w:p>
    <w:p w14:paraId="3FF7FE23" w14:textId="77777777" w:rsidR="00565160" w:rsidRPr="00565160" w:rsidRDefault="00565160" w:rsidP="00565160">
      <w:pPr>
        <w:ind w:left="709"/>
        <w:rPr>
          <w:rFonts w:ascii="Calibri" w:hAnsi="Calibri" w:cs="Calibri"/>
          <w:bCs/>
          <w:color w:val="000000"/>
          <w:lang w:eastAsia="de-AT"/>
        </w:rPr>
      </w:pPr>
      <w:r w:rsidRPr="00565160">
        <w:rPr>
          <w:rFonts w:ascii="Calibri" w:hAnsi="Calibri" w:cs="Calibri"/>
          <w:bCs/>
          <w:color w:val="000000"/>
          <w:lang w:eastAsia="de-AT"/>
        </w:rPr>
        <w:t>Gemeinn</w:t>
      </w:r>
      <w:r w:rsidR="0044032A">
        <w:rPr>
          <w:rFonts w:ascii="Calibri" w:hAnsi="Calibri" w:cs="Calibri"/>
          <w:bCs/>
          <w:color w:val="000000"/>
          <w:lang w:eastAsia="de-AT"/>
        </w:rPr>
        <w:t>. Wohnbaugesellschaft</w:t>
      </w:r>
      <w:r w:rsidRPr="00565160">
        <w:rPr>
          <w:rFonts w:ascii="Calibri" w:hAnsi="Calibri" w:cs="Calibri"/>
          <w:bCs/>
          <w:color w:val="000000"/>
          <w:lang w:eastAsia="de-AT"/>
        </w:rPr>
        <w:t xml:space="preserve"> Terra GmbH</w:t>
      </w:r>
      <w:r w:rsidRPr="00565160">
        <w:rPr>
          <w:rFonts w:ascii="Calibri" w:hAnsi="Calibri" w:cs="Calibri"/>
          <w:bCs/>
          <w:color w:val="000000"/>
          <w:lang w:eastAsia="de-AT"/>
        </w:rPr>
        <w:tab/>
      </w:r>
      <w:r w:rsidRPr="00565160">
        <w:rPr>
          <w:rFonts w:ascii="Calibri" w:hAnsi="Calibri" w:cs="Calibri"/>
          <w:bCs/>
          <w:color w:val="000000"/>
          <w:lang w:eastAsia="de-AT"/>
        </w:rPr>
        <w:tab/>
      </w:r>
      <w:r w:rsidRPr="00565160">
        <w:rPr>
          <w:rFonts w:ascii="Calibri" w:hAnsi="Calibri" w:cs="Calibri"/>
          <w:bCs/>
          <w:color w:val="000000"/>
          <w:lang w:eastAsia="de-AT"/>
        </w:rPr>
        <w:tab/>
        <w:t>Aufsichtsratsmitglied</w:t>
      </w:r>
    </w:p>
    <w:p w14:paraId="27DD54BD" w14:textId="77777777" w:rsidR="00565160" w:rsidRPr="00565160" w:rsidRDefault="00565160" w:rsidP="00565160">
      <w:pPr>
        <w:ind w:left="709"/>
        <w:rPr>
          <w:rFonts w:ascii="Calibri" w:hAnsi="Calibri" w:cs="Calibri"/>
          <w:bCs/>
          <w:color w:val="000000"/>
          <w:lang w:eastAsia="de-AT"/>
        </w:rPr>
      </w:pPr>
      <w:r>
        <w:rPr>
          <w:rFonts w:ascii="Calibri" w:hAnsi="Calibri" w:cs="Calibri"/>
          <w:bCs/>
          <w:color w:val="000000"/>
          <w:lang w:eastAsia="de-AT"/>
        </w:rPr>
        <w:t xml:space="preserve">Alpenland </w:t>
      </w:r>
      <w:r w:rsidRPr="00565160">
        <w:rPr>
          <w:rFonts w:ascii="Calibri" w:hAnsi="Calibri" w:cs="Calibri"/>
          <w:bCs/>
          <w:color w:val="000000"/>
          <w:lang w:eastAsia="de-AT"/>
        </w:rPr>
        <w:t>Wohnbau- und Wohn</w:t>
      </w:r>
      <w:r>
        <w:rPr>
          <w:rFonts w:ascii="Calibri" w:hAnsi="Calibri" w:cs="Calibri"/>
          <w:bCs/>
          <w:color w:val="000000"/>
          <w:lang w:eastAsia="de-AT"/>
        </w:rPr>
        <w:t>betreuung</w:t>
      </w:r>
      <w:r w:rsidR="0044032A">
        <w:rPr>
          <w:rFonts w:ascii="Calibri" w:hAnsi="Calibri" w:cs="Calibri"/>
          <w:bCs/>
          <w:color w:val="000000"/>
          <w:lang w:eastAsia="de-AT"/>
        </w:rPr>
        <w:t>s</w:t>
      </w:r>
      <w:r w:rsidRPr="00565160">
        <w:rPr>
          <w:rFonts w:ascii="Calibri" w:hAnsi="Calibri" w:cs="Calibri"/>
          <w:bCs/>
          <w:color w:val="000000"/>
          <w:lang w:eastAsia="de-AT"/>
        </w:rPr>
        <w:t>ge</w:t>
      </w:r>
      <w:r>
        <w:rPr>
          <w:rFonts w:ascii="Calibri" w:hAnsi="Calibri" w:cs="Calibri"/>
          <w:bCs/>
          <w:color w:val="000000"/>
          <w:lang w:eastAsia="de-AT"/>
        </w:rPr>
        <w:t>smbH</w:t>
      </w:r>
      <w:r>
        <w:rPr>
          <w:rFonts w:ascii="Calibri" w:hAnsi="Calibri" w:cs="Calibri"/>
          <w:bCs/>
          <w:color w:val="000000"/>
          <w:lang w:eastAsia="de-AT"/>
        </w:rPr>
        <w:tab/>
      </w:r>
      <w:r w:rsidRPr="00565160">
        <w:rPr>
          <w:rFonts w:ascii="Calibri" w:hAnsi="Calibri" w:cs="Calibri"/>
          <w:bCs/>
          <w:color w:val="000000"/>
          <w:lang w:eastAsia="de-AT"/>
        </w:rPr>
        <w:tab/>
        <w:t>Aufsichtsratsmitglied</w:t>
      </w:r>
    </w:p>
    <w:p w14:paraId="7108B032" w14:textId="77777777" w:rsidR="00565160" w:rsidRDefault="00565160" w:rsidP="00387324">
      <w:pPr>
        <w:rPr>
          <w:rFonts w:ascii="Calibri" w:hAnsi="Calibri" w:cs="Calibri"/>
          <w:bCs/>
          <w:color w:val="000000"/>
          <w:lang w:eastAsia="de-AT"/>
        </w:rPr>
      </w:pPr>
    </w:p>
    <w:p w14:paraId="755C70B0" w14:textId="77777777" w:rsidR="00565160" w:rsidRPr="00BD7A0E" w:rsidRDefault="00565160" w:rsidP="00387324">
      <w:pPr>
        <w:rPr>
          <w:rFonts w:ascii="Calibri" w:hAnsi="Calibri" w:cs="Calibri"/>
          <w:bCs/>
          <w:color w:val="000000"/>
          <w:sz w:val="24"/>
          <w:lang w:eastAsia="de-AT"/>
        </w:rPr>
      </w:pPr>
      <w:r w:rsidRPr="00BD7A0E">
        <w:rPr>
          <w:rFonts w:ascii="Calibri" w:hAnsi="Calibri" w:cs="Calibri"/>
          <w:bCs/>
          <w:color w:val="000000"/>
          <w:sz w:val="24"/>
          <w:lang w:eastAsia="de-AT"/>
        </w:rPr>
        <w:t>Ing. Johannes Ott MSc, geb. 1964</w:t>
      </w:r>
      <w:r w:rsidRPr="00BD7A0E">
        <w:rPr>
          <w:rFonts w:ascii="Calibri" w:hAnsi="Calibri" w:cs="Calibri"/>
          <w:bCs/>
          <w:color w:val="000000"/>
          <w:sz w:val="24"/>
          <w:lang w:eastAsia="de-AT"/>
        </w:rPr>
        <w:tab/>
      </w:r>
      <w:r w:rsidR="00A92C5E" w:rsidRPr="00BD7A0E">
        <w:rPr>
          <w:rFonts w:ascii="Calibri" w:hAnsi="Calibri" w:cs="Calibri"/>
          <w:bCs/>
          <w:color w:val="000000"/>
          <w:sz w:val="24"/>
          <w:lang w:eastAsia="de-AT"/>
        </w:rPr>
        <w:t xml:space="preserve">bestellt seit </w:t>
      </w:r>
      <w:r w:rsidR="0044032A" w:rsidRPr="00BD7A0E">
        <w:rPr>
          <w:rFonts w:ascii="Calibri" w:hAnsi="Calibri" w:cs="Calibri"/>
          <w:bCs/>
          <w:color w:val="000000"/>
          <w:sz w:val="24"/>
          <w:lang w:eastAsia="de-AT"/>
        </w:rPr>
        <w:t>4</w:t>
      </w:r>
      <w:r w:rsidR="00A92C5E" w:rsidRPr="00BD7A0E">
        <w:rPr>
          <w:rFonts w:ascii="Calibri" w:hAnsi="Calibri" w:cs="Calibri"/>
          <w:bCs/>
          <w:color w:val="000000"/>
          <w:sz w:val="24"/>
          <w:lang w:eastAsia="de-AT"/>
        </w:rPr>
        <w:t xml:space="preserve">.3.2020 </w:t>
      </w:r>
    </w:p>
    <w:p w14:paraId="765BF9F5" w14:textId="77777777" w:rsidR="00565160" w:rsidRDefault="00A92C5E" w:rsidP="00A92C5E">
      <w:pPr>
        <w:ind w:firstLine="709"/>
        <w:rPr>
          <w:rFonts w:ascii="Calibri" w:hAnsi="Calibri" w:cs="Calibri"/>
          <w:bCs/>
          <w:color w:val="000000"/>
          <w:lang w:eastAsia="de-AT"/>
        </w:rPr>
      </w:pPr>
      <w:r>
        <w:rPr>
          <w:rFonts w:ascii="Calibri" w:hAnsi="Calibri" w:cs="Calibri"/>
          <w:bCs/>
          <w:color w:val="000000"/>
          <w:lang w:eastAsia="de-AT"/>
        </w:rPr>
        <w:t>z</w:t>
      </w:r>
      <w:r w:rsidR="00565160" w:rsidRPr="00565160">
        <w:rPr>
          <w:rFonts w:ascii="Calibri" w:hAnsi="Calibri" w:cs="Calibri"/>
          <w:bCs/>
          <w:color w:val="000000"/>
          <w:lang w:eastAsia="de-AT"/>
        </w:rPr>
        <w:t>uständig für Grundstücksakquise, Projektentwicklung, Hausverwaltung, Technik</w:t>
      </w:r>
    </w:p>
    <w:p w14:paraId="41912D1B" w14:textId="77777777" w:rsidR="00A92C5E" w:rsidRDefault="00A92C5E" w:rsidP="00387324">
      <w:pPr>
        <w:rPr>
          <w:rFonts w:ascii="Calibri" w:hAnsi="Calibri" w:cs="Calibri"/>
          <w:bCs/>
          <w:color w:val="000000"/>
          <w:lang w:eastAsia="de-AT"/>
        </w:rPr>
      </w:pPr>
    </w:p>
    <w:p w14:paraId="797C3D72" w14:textId="77777777" w:rsidR="00A92C5E" w:rsidRPr="00A92C5E" w:rsidRDefault="00A92C5E" w:rsidP="00A92C5E">
      <w:pPr>
        <w:ind w:firstLine="709"/>
        <w:rPr>
          <w:rFonts w:ascii="Calibri" w:hAnsi="Calibri" w:cs="Calibri"/>
          <w:b/>
          <w:bCs/>
          <w:color w:val="000000"/>
          <w:lang w:eastAsia="de-AT"/>
        </w:rPr>
      </w:pPr>
      <w:r w:rsidRPr="00A92C5E">
        <w:rPr>
          <w:rFonts w:ascii="Calibri" w:hAnsi="Calibri" w:cs="Calibri"/>
          <w:b/>
          <w:bCs/>
          <w:color w:val="000000"/>
          <w:lang w:eastAsia="de-AT"/>
        </w:rPr>
        <w:t>Aufsichtsratmandate und geschäftsführende Tätigkeiten in Beteiligungsunternehmen:</w:t>
      </w:r>
    </w:p>
    <w:p w14:paraId="2E4E3A0C" w14:textId="0222FB1C" w:rsidR="00BB1881" w:rsidRPr="00565160" w:rsidRDefault="00BB1881" w:rsidP="00813024">
      <w:pPr>
        <w:ind w:left="709" w:right="-284"/>
        <w:rPr>
          <w:rFonts w:ascii="Calibri" w:hAnsi="Calibri" w:cs="Calibri"/>
          <w:bCs/>
          <w:color w:val="000000"/>
          <w:lang w:eastAsia="de-AT"/>
        </w:rPr>
      </w:pPr>
      <w:r>
        <w:rPr>
          <w:rFonts w:ascii="Calibri" w:hAnsi="Calibri" w:cs="Calibri"/>
          <w:bCs/>
          <w:color w:val="000000"/>
          <w:lang w:eastAsia="de-AT"/>
        </w:rPr>
        <w:t>Podyji bytova vystavba s.r.o. (Tschechien)</w:t>
      </w:r>
      <w:r w:rsidRPr="00565160">
        <w:rPr>
          <w:rFonts w:ascii="Calibri" w:hAnsi="Calibri" w:cs="Calibri"/>
          <w:bCs/>
          <w:color w:val="000000"/>
          <w:lang w:eastAsia="de-AT"/>
        </w:rPr>
        <w:tab/>
      </w:r>
      <w:r w:rsidRPr="00565160">
        <w:rPr>
          <w:rFonts w:ascii="Calibri" w:hAnsi="Calibri" w:cs="Calibri"/>
          <w:bCs/>
          <w:color w:val="000000"/>
          <w:lang w:eastAsia="de-AT"/>
        </w:rPr>
        <w:tab/>
      </w:r>
      <w:r w:rsidRPr="00565160">
        <w:rPr>
          <w:rFonts w:ascii="Calibri" w:hAnsi="Calibri" w:cs="Calibri"/>
          <w:bCs/>
          <w:color w:val="000000"/>
          <w:lang w:eastAsia="de-AT"/>
        </w:rPr>
        <w:tab/>
      </w:r>
      <w:r>
        <w:rPr>
          <w:rFonts w:ascii="Calibri" w:hAnsi="Calibri" w:cs="Calibri"/>
          <w:bCs/>
          <w:color w:val="000000"/>
          <w:lang w:eastAsia="de-AT"/>
        </w:rPr>
        <w:t>Aufsichtsratsmitglied</w:t>
      </w:r>
      <w:r w:rsidR="00813024">
        <w:rPr>
          <w:rFonts w:ascii="Calibri" w:hAnsi="Calibri" w:cs="Calibri"/>
          <w:bCs/>
          <w:color w:val="000000"/>
          <w:lang w:eastAsia="de-AT"/>
        </w:rPr>
        <w:t xml:space="preserve"> (bis 25.11.25)</w:t>
      </w:r>
    </w:p>
    <w:p w14:paraId="0A15AD1D" w14:textId="77777777" w:rsidR="00387324" w:rsidRDefault="00387324" w:rsidP="00BB1881">
      <w:pPr>
        <w:rPr>
          <w:rFonts w:ascii="Calibri" w:hAnsi="Calibri" w:cs="Calibri"/>
          <w:bCs/>
          <w:color w:val="000000"/>
          <w:lang w:eastAsia="de-AT"/>
        </w:rPr>
      </w:pPr>
    </w:p>
    <w:p w14:paraId="7C9EE156" w14:textId="77777777" w:rsidR="00712397" w:rsidRDefault="00712397" w:rsidP="00712397">
      <w:pPr>
        <w:jc w:val="both"/>
        <w:rPr>
          <w:rFonts w:cs="Helvetica"/>
          <w:color w:val="0A0A0A"/>
          <w:sz w:val="20"/>
        </w:rPr>
      </w:pPr>
      <w:r w:rsidRPr="007568FF">
        <w:rPr>
          <w:rFonts w:cs="Helvetica"/>
          <w:color w:val="0A0A0A"/>
          <w:sz w:val="20"/>
        </w:rPr>
        <w:t>Die Geschäftsführung informiert den Aufsichtsrat regelmäßig, zeitnah und umfassend in schriftlicher oder mündlicher Form über alle für das Unternehmen relevanten Fragen der Geschäftsentwicklung, der Planung und der Situation des Unternehmens einschließlich der Risikolage und des Risikomanagements der Gesellschaft, etwaige Abweichungen der Geschäftsentwicklung von der ursprünglichen Planung sowie über wichtige Geschäftsvorfälle. Bestimmte Geschäfte von grundlegender Bedeutung legt die Geschäftsführung dem Aufsichtsrat aufgrund festgelegter Zustimmungsvorbehalte vor. Bei wichtigem Anl</w:t>
      </w:r>
      <w:r w:rsidR="005D0906">
        <w:rPr>
          <w:rFonts w:cs="Helvetica"/>
          <w:color w:val="0A0A0A"/>
          <w:sz w:val="20"/>
        </w:rPr>
        <w:t>ass hat die Geschäftsführung der/dem</w:t>
      </w:r>
      <w:r w:rsidRPr="007568FF">
        <w:rPr>
          <w:rFonts w:cs="Helvetica"/>
          <w:color w:val="0A0A0A"/>
          <w:sz w:val="20"/>
        </w:rPr>
        <w:t xml:space="preserve"> Vorsitzenden des Aufsichtsrats unverzüglich zu berichten. Ferner ist über Umstände, die für die Rentabilität oder Liquidität der Gesellschaft von erheblicher Bedeutung sind, dem Aufsichtsrat unverzüglich zu berichten (Sonderbericht). </w:t>
      </w:r>
    </w:p>
    <w:p w14:paraId="76379C18" w14:textId="77777777" w:rsidR="007568FF" w:rsidRPr="007568FF" w:rsidRDefault="007568FF" w:rsidP="00712397">
      <w:pPr>
        <w:jc w:val="both"/>
        <w:rPr>
          <w:rFonts w:cs="Helvetica"/>
          <w:color w:val="0A0A0A"/>
          <w:sz w:val="20"/>
        </w:rPr>
      </w:pPr>
    </w:p>
    <w:p w14:paraId="4E6C4EA9" w14:textId="14DBDEBB" w:rsidR="00712397" w:rsidRPr="007568FF" w:rsidRDefault="00712397" w:rsidP="00712397">
      <w:pPr>
        <w:jc w:val="both"/>
        <w:rPr>
          <w:rFonts w:cs="Helvetica"/>
          <w:color w:val="0A0A0A"/>
          <w:sz w:val="20"/>
        </w:rPr>
      </w:pPr>
      <w:r w:rsidRPr="007568FF">
        <w:rPr>
          <w:rFonts w:cs="Helvetica"/>
          <w:color w:val="0A0A0A"/>
          <w:sz w:val="20"/>
        </w:rPr>
        <w:t>Zwischen den Sitzungen informiert die Geschäftsführung der/die Vorsitzende(n) des Aufsichtsrates über die aktuelle Geschäftsentwicklung</w:t>
      </w:r>
      <w:r w:rsidR="0051727A">
        <w:rPr>
          <w:rFonts w:cs="Helvetica"/>
          <w:color w:val="0A0A0A"/>
          <w:sz w:val="20"/>
        </w:rPr>
        <w:t xml:space="preserve"> im Rahmen eines regelmäßigen Jour-Fix in der Alpenland</w:t>
      </w:r>
      <w:r w:rsidRPr="007568FF">
        <w:rPr>
          <w:rFonts w:cs="Helvetica"/>
          <w:color w:val="0A0A0A"/>
          <w:sz w:val="20"/>
        </w:rPr>
        <w:t xml:space="preserve">. </w:t>
      </w:r>
    </w:p>
    <w:p w14:paraId="2C1292AC" w14:textId="77777777" w:rsidR="00712397" w:rsidRPr="007568FF" w:rsidRDefault="00712397" w:rsidP="00712397">
      <w:pPr>
        <w:jc w:val="both"/>
        <w:rPr>
          <w:rFonts w:cs="Helvetica"/>
          <w:color w:val="0A0A0A"/>
          <w:sz w:val="20"/>
        </w:rPr>
      </w:pPr>
      <w:r w:rsidRPr="007568FF">
        <w:rPr>
          <w:rFonts w:cs="Helvetica"/>
          <w:color w:val="0A0A0A"/>
          <w:sz w:val="20"/>
        </w:rPr>
        <w:t>Die Berichterstattung an den Aufsichtsrat erfolgt grundsätzlich quartalsweise, bei wesentlichen Ereignissen unverzüglich. Die Unterlagen für Aufsichtsratssitzungen sind im Regelfall mindestens eine Woche vor der jeweiligen Sitzung zur Verfügung zu stellen.</w:t>
      </w:r>
    </w:p>
    <w:p w14:paraId="5F918BD3" w14:textId="77777777" w:rsidR="00FA4F2D" w:rsidRPr="007568FF" w:rsidRDefault="00FA4F2D" w:rsidP="00A2328A">
      <w:pPr>
        <w:rPr>
          <w:rFonts w:cs="Helvetica"/>
          <w:color w:val="0A0A0A"/>
          <w:u w:val="single"/>
        </w:rPr>
      </w:pPr>
      <w:r w:rsidRPr="007568FF">
        <w:rPr>
          <w:rFonts w:cs="Helvetica"/>
          <w:color w:val="0A0A0A"/>
          <w:u w:val="single"/>
        </w:rPr>
        <w:lastRenderedPageBreak/>
        <w:t>AUFSICHTSRAT</w:t>
      </w:r>
    </w:p>
    <w:p w14:paraId="6DAE1875" w14:textId="77777777" w:rsidR="00A92C5E" w:rsidRDefault="00A92C5E" w:rsidP="00752F1D">
      <w:pPr>
        <w:rPr>
          <w:rFonts w:eastAsia="Calibri"/>
        </w:rPr>
      </w:pPr>
    </w:p>
    <w:p w14:paraId="4AED358B" w14:textId="77777777" w:rsidR="00FA4F2D" w:rsidRDefault="00FA4F2D" w:rsidP="00FA4F2D">
      <w:pPr>
        <w:jc w:val="both"/>
        <w:rPr>
          <w:rFonts w:cs="Helvetica"/>
          <w:color w:val="0A0A0A"/>
          <w:sz w:val="20"/>
        </w:rPr>
      </w:pPr>
      <w:r w:rsidRPr="007568FF">
        <w:rPr>
          <w:rFonts w:cs="Helvetica"/>
          <w:color w:val="0A0A0A"/>
          <w:sz w:val="20"/>
        </w:rPr>
        <w:t>Gemäß § 10 des Gesellschaftsvertrages besteht der Aufsi</w:t>
      </w:r>
      <w:r w:rsidR="00A2328A" w:rsidRPr="007568FF">
        <w:rPr>
          <w:rFonts w:cs="Helvetica"/>
          <w:color w:val="0A0A0A"/>
          <w:sz w:val="20"/>
        </w:rPr>
        <w:t xml:space="preserve">chtsrat aus </w:t>
      </w:r>
      <w:r w:rsidR="00752835">
        <w:rPr>
          <w:rFonts w:cs="Helvetica"/>
          <w:color w:val="0A0A0A"/>
          <w:sz w:val="20"/>
        </w:rPr>
        <w:t xml:space="preserve">drei </w:t>
      </w:r>
      <w:r w:rsidR="00CD5D9D">
        <w:rPr>
          <w:rFonts w:cs="Helvetica"/>
          <w:color w:val="0A0A0A"/>
          <w:sz w:val="20"/>
        </w:rPr>
        <w:t xml:space="preserve">bis zu </w:t>
      </w:r>
      <w:r w:rsidR="00752835">
        <w:rPr>
          <w:rFonts w:cs="Helvetica"/>
          <w:color w:val="0A0A0A"/>
          <w:sz w:val="20"/>
        </w:rPr>
        <w:t>sechs</w:t>
      </w:r>
      <w:r w:rsidRPr="007568FF">
        <w:rPr>
          <w:rFonts w:cs="Helvetica"/>
          <w:color w:val="0A0A0A"/>
          <w:sz w:val="20"/>
        </w:rPr>
        <w:t xml:space="preserve"> von der </w:t>
      </w:r>
      <w:r w:rsidR="00A2328A" w:rsidRPr="007568FF">
        <w:rPr>
          <w:rFonts w:cs="Helvetica"/>
          <w:color w:val="0A0A0A"/>
          <w:sz w:val="20"/>
        </w:rPr>
        <w:t>Generalversammlung</w:t>
      </w:r>
      <w:r w:rsidRPr="007568FF">
        <w:rPr>
          <w:rFonts w:cs="Helvetica"/>
          <w:color w:val="0A0A0A"/>
          <w:sz w:val="20"/>
        </w:rPr>
        <w:t xml:space="preserve"> gewählten </w:t>
      </w:r>
      <w:r w:rsidR="005D0906">
        <w:rPr>
          <w:rFonts w:cs="Helvetica"/>
          <w:color w:val="0A0A0A"/>
          <w:sz w:val="20"/>
        </w:rPr>
        <w:t xml:space="preserve">bzw. bestellten </w:t>
      </w:r>
      <w:r w:rsidRPr="007568FF">
        <w:rPr>
          <w:rFonts w:cs="Helvetica"/>
          <w:color w:val="0A0A0A"/>
          <w:sz w:val="20"/>
        </w:rPr>
        <w:t xml:space="preserve">Mitgliedern mit einer </w:t>
      </w:r>
      <w:r w:rsidR="00A2328A" w:rsidRPr="007568FF">
        <w:rPr>
          <w:rFonts w:cs="Helvetica"/>
          <w:color w:val="0A0A0A"/>
          <w:sz w:val="20"/>
        </w:rPr>
        <w:t>fünf</w:t>
      </w:r>
      <w:r w:rsidRPr="007568FF">
        <w:rPr>
          <w:rFonts w:cs="Helvetica"/>
          <w:color w:val="0A0A0A"/>
          <w:sz w:val="20"/>
        </w:rPr>
        <w:t>jährigen Funktionsdauer.</w:t>
      </w:r>
    </w:p>
    <w:p w14:paraId="092BE4D9" w14:textId="77777777" w:rsidR="007568FF" w:rsidRPr="007568FF" w:rsidRDefault="007568FF" w:rsidP="00FA4F2D">
      <w:pPr>
        <w:jc w:val="both"/>
        <w:rPr>
          <w:rFonts w:cs="Helvetica"/>
          <w:color w:val="0A0A0A"/>
          <w:sz w:val="20"/>
        </w:rPr>
      </w:pPr>
    </w:p>
    <w:p w14:paraId="73F71A04" w14:textId="77777777" w:rsidR="00FA4F2D" w:rsidRDefault="00FA4F2D" w:rsidP="00FA4F2D">
      <w:pPr>
        <w:jc w:val="both"/>
        <w:rPr>
          <w:rFonts w:cs="Helvetica"/>
          <w:color w:val="0A0A0A"/>
          <w:sz w:val="20"/>
        </w:rPr>
      </w:pPr>
    </w:p>
    <w:p w14:paraId="69AE0CB4" w14:textId="0A2584E8" w:rsidR="00FA4F2D" w:rsidRPr="007568FF" w:rsidRDefault="00FA4F2D" w:rsidP="00FA4F2D">
      <w:pPr>
        <w:rPr>
          <w:rFonts w:cs="Helvetica"/>
          <w:color w:val="0A0A0A"/>
          <w:sz w:val="20"/>
        </w:rPr>
      </w:pPr>
      <w:r w:rsidRPr="007568FF">
        <w:rPr>
          <w:rFonts w:cs="Helvetica"/>
          <w:color w:val="0A0A0A"/>
          <w:sz w:val="20"/>
        </w:rPr>
        <w:t>Die Zusammensetzung d</w:t>
      </w:r>
      <w:r w:rsidR="00BB1881">
        <w:rPr>
          <w:rFonts w:cs="Helvetica"/>
          <w:color w:val="0A0A0A"/>
          <w:sz w:val="20"/>
        </w:rPr>
        <w:t>es Aufsichtsrates zum 31.12.202</w:t>
      </w:r>
      <w:r w:rsidR="00813024">
        <w:rPr>
          <w:rFonts w:cs="Helvetica"/>
          <w:color w:val="0A0A0A"/>
          <w:sz w:val="20"/>
        </w:rPr>
        <w:t>5</w:t>
      </w:r>
      <w:r w:rsidRPr="007568FF">
        <w:rPr>
          <w:rFonts w:cs="Helvetica"/>
          <w:color w:val="0A0A0A"/>
          <w:sz w:val="20"/>
        </w:rPr>
        <w:t xml:space="preserve"> war wie folgt:</w:t>
      </w:r>
    </w:p>
    <w:p w14:paraId="552A3BF7" w14:textId="77777777" w:rsidR="00A92C5E" w:rsidRDefault="00A92C5E" w:rsidP="00752F1D">
      <w:pPr>
        <w:rPr>
          <w:rFonts w:eastAsia="Calibri"/>
        </w:rPr>
      </w:pPr>
    </w:p>
    <w:p w14:paraId="504B661F" w14:textId="77777777" w:rsidR="007568FF" w:rsidRDefault="007568FF" w:rsidP="00752F1D">
      <w:pPr>
        <w:rPr>
          <w:rFonts w:eastAsia="Calibri"/>
        </w:rPr>
      </w:pPr>
    </w:p>
    <w:p w14:paraId="7799829C" w14:textId="77777777" w:rsidR="00A2328A" w:rsidRPr="00A2328A" w:rsidRDefault="00A2328A" w:rsidP="00A2328A">
      <w:pPr>
        <w:spacing w:line="360" w:lineRule="auto"/>
        <w:ind w:left="567"/>
        <w:rPr>
          <w:rFonts w:cs="Helvetica"/>
          <w:b/>
          <w:color w:val="0A0A0A"/>
          <w:u w:val="single"/>
          <w:lang w:eastAsia="de-AT"/>
        </w:rPr>
      </w:pPr>
      <w:r>
        <w:rPr>
          <w:rFonts w:cs="Helvetica"/>
          <w:b/>
          <w:color w:val="0A0A0A"/>
          <w:u w:val="single"/>
          <w:lang w:eastAsia="de-AT"/>
        </w:rPr>
        <w:t>Mitglied des Aufsichtsrates</w:t>
      </w:r>
      <w:r>
        <w:rPr>
          <w:rFonts w:cs="Helvetica"/>
          <w:b/>
          <w:color w:val="0A0A0A"/>
          <w:u w:val="single"/>
          <w:lang w:eastAsia="de-AT"/>
        </w:rPr>
        <w:tab/>
      </w:r>
      <w:r>
        <w:rPr>
          <w:rFonts w:cs="Helvetica"/>
          <w:b/>
          <w:color w:val="0A0A0A"/>
          <w:u w:val="single"/>
          <w:lang w:eastAsia="de-AT"/>
        </w:rPr>
        <w:tab/>
      </w:r>
      <w:r>
        <w:rPr>
          <w:rFonts w:cs="Helvetica"/>
          <w:b/>
          <w:color w:val="0A0A0A"/>
          <w:u w:val="single"/>
          <w:lang w:eastAsia="de-AT"/>
        </w:rPr>
        <w:tab/>
      </w:r>
      <w:r w:rsidRPr="00A2328A">
        <w:rPr>
          <w:rFonts w:cs="Helvetica"/>
          <w:b/>
          <w:color w:val="0A0A0A"/>
          <w:u w:val="single"/>
          <w:lang w:eastAsia="de-AT"/>
        </w:rPr>
        <w:t>Funktionen im Aufsichtsrat</w:t>
      </w:r>
    </w:p>
    <w:p w14:paraId="57348239" w14:textId="77777777" w:rsidR="00A2328A" w:rsidRPr="007568FF" w:rsidRDefault="00A2328A" w:rsidP="00A2328A">
      <w:pPr>
        <w:spacing w:line="360" w:lineRule="auto"/>
        <w:ind w:left="567"/>
        <w:rPr>
          <w:rFonts w:cs="Helvetica"/>
          <w:color w:val="0A0A0A"/>
          <w:sz w:val="18"/>
          <w:lang w:eastAsia="de-AT"/>
        </w:rPr>
      </w:pPr>
    </w:p>
    <w:p w14:paraId="14749FBF" w14:textId="77777777" w:rsidR="00A2328A" w:rsidRPr="00A2328A" w:rsidRDefault="00BB1881" w:rsidP="00A2328A">
      <w:pPr>
        <w:spacing w:line="360" w:lineRule="auto"/>
        <w:ind w:left="567"/>
        <w:rPr>
          <w:rFonts w:cs="Helvetica"/>
          <w:color w:val="0A0A0A"/>
          <w:sz w:val="20"/>
          <w:lang w:eastAsia="de-AT"/>
        </w:rPr>
      </w:pPr>
      <w:r>
        <w:rPr>
          <w:rFonts w:cs="Helvetica"/>
          <w:color w:val="0A0A0A"/>
          <w:sz w:val="20"/>
          <w:lang w:eastAsia="de-AT"/>
        </w:rPr>
        <w:t>Mag. Isabella Stickler</w:t>
      </w:r>
      <w:r w:rsidR="00A2328A" w:rsidRPr="00A2328A">
        <w:rPr>
          <w:rFonts w:cs="Helvetica"/>
          <w:color w:val="0A0A0A"/>
          <w:sz w:val="20"/>
          <w:lang w:eastAsia="de-AT"/>
        </w:rPr>
        <w:t>, geb.</w:t>
      </w:r>
      <w:r>
        <w:rPr>
          <w:rFonts w:cs="Helvetica"/>
          <w:color w:val="0A0A0A"/>
          <w:sz w:val="20"/>
          <w:lang w:eastAsia="de-AT"/>
        </w:rPr>
        <w:t xml:space="preserve"> 20.01.1977</w:t>
      </w:r>
      <w:r w:rsidR="00A2328A" w:rsidRPr="00A2328A">
        <w:rPr>
          <w:rFonts w:cs="Helvetica"/>
          <w:color w:val="0A0A0A"/>
          <w:sz w:val="20"/>
          <w:lang w:eastAsia="de-AT"/>
        </w:rPr>
        <w:t xml:space="preserve"> </w:t>
      </w:r>
      <w:r w:rsidR="00A2328A" w:rsidRPr="00A2328A">
        <w:rPr>
          <w:rFonts w:cs="Helvetica"/>
          <w:color w:val="0A0A0A"/>
          <w:sz w:val="20"/>
          <w:lang w:eastAsia="de-AT"/>
        </w:rPr>
        <w:tab/>
      </w:r>
      <w:r w:rsidR="00A2328A" w:rsidRPr="00A2328A">
        <w:rPr>
          <w:rFonts w:cs="Helvetica"/>
          <w:color w:val="0A0A0A"/>
          <w:sz w:val="20"/>
          <w:lang w:eastAsia="de-AT"/>
        </w:rPr>
        <w:tab/>
      </w:r>
      <w:r w:rsidR="00160A51">
        <w:rPr>
          <w:rFonts w:cs="Helvetica"/>
          <w:color w:val="0A0A0A"/>
          <w:sz w:val="20"/>
          <w:lang w:eastAsia="de-AT"/>
        </w:rPr>
        <w:t>Vorsitzende</w:t>
      </w:r>
    </w:p>
    <w:p w14:paraId="59213076" w14:textId="77777777"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Erstbestellung</w:t>
      </w:r>
      <w:r w:rsidR="007C3CC1">
        <w:rPr>
          <w:rFonts w:cs="Helvetica"/>
          <w:color w:val="0A0A0A"/>
          <w:sz w:val="20"/>
          <w:lang w:val="en-US" w:eastAsia="de-AT"/>
        </w:rPr>
        <w:t xml:space="preserve"> </w:t>
      </w:r>
      <w:r w:rsidR="00DE293B">
        <w:rPr>
          <w:rFonts w:cs="Helvetica"/>
          <w:color w:val="0A0A0A"/>
          <w:sz w:val="20"/>
          <w:lang w:val="en-US" w:eastAsia="de-AT"/>
        </w:rPr>
        <w:t>01.01.2022</w:t>
      </w:r>
    </w:p>
    <w:p w14:paraId="694D030B" w14:textId="77777777"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Ende der laufende</w:t>
      </w:r>
      <w:r>
        <w:rPr>
          <w:rFonts w:cs="Helvetica"/>
          <w:color w:val="0A0A0A"/>
          <w:sz w:val="20"/>
          <w:lang w:val="en-US" w:eastAsia="de-AT"/>
        </w:rPr>
        <w:t>n</w:t>
      </w:r>
      <w:r w:rsidRPr="00A2328A">
        <w:rPr>
          <w:rFonts w:cs="Helvetica"/>
          <w:color w:val="0A0A0A"/>
          <w:sz w:val="20"/>
          <w:lang w:val="en-US" w:eastAsia="de-AT"/>
        </w:rPr>
        <w:t xml:space="preserve"> Funktionsperiode</w:t>
      </w:r>
      <w:r w:rsidR="00DE293B">
        <w:rPr>
          <w:rFonts w:cs="Helvetica"/>
          <w:color w:val="0A0A0A"/>
          <w:sz w:val="20"/>
          <w:lang w:val="en-US" w:eastAsia="de-AT"/>
        </w:rPr>
        <w:t xml:space="preserve"> 2027</w:t>
      </w:r>
    </w:p>
    <w:p w14:paraId="4A7AB794" w14:textId="77777777" w:rsidR="00A2328A" w:rsidRPr="007568FF" w:rsidRDefault="00A2328A" w:rsidP="00A2328A">
      <w:pPr>
        <w:spacing w:line="360" w:lineRule="auto"/>
        <w:ind w:left="567"/>
        <w:rPr>
          <w:rFonts w:cs="Helvetica"/>
          <w:color w:val="0A0A0A"/>
          <w:sz w:val="16"/>
          <w:lang w:val="en-US" w:eastAsia="de-AT"/>
        </w:rPr>
      </w:pPr>
    </w:p>
    <w:p w14:paraId="60E188E6" w14:textId="77777777" w:rsidR="00DE293B" w:rsidRDefault="00DE293B" w:rsidP="00DE293B">
      <w:pPr>
        <w:spacing w:line="360" w:lineRule="auto"/>
        <w:ind w:left="567"/>
        <w:rPr>
          <w:rFonts w:cs="Helvetica"/>
          <w:color w:val="0A0A0A"/>
          <w:sz w:val="20"/>
          <w:lang w:val="en-US" w:eastAsia="de-AT"/>
        </w:rPr>
      </w:pPr>
      <w:r w:rsidRPr="00A2328A">
        <w:rPr>
          <w:sz w:val="20"/>
          <w:lang w:eastAsia="de-AT"/>
        </w:rPr>
        <w:t>Dr. Andreas Köninger, geb. 27.11.1959</w:t>
      </w:r>
      <w:r w:rsidRPr="00A2328A">
        <w:rPr>
          <w:rFonts w:cs="Helvetica"/>
          <w:color w:val="0A0A0A"/>
          <w:sz w:val="20"/>
          <w:lang w:val="en-US" w:eastAsia="de-AT"/>
        </w:rPr>
        <w:tab/>
      </w:r>
      <w:r>
        <w:rPr>
          <w:rFonts w:cs="Helvetica"/>
          <w:color w:val="0A0A0A"/>
          <w:sz w:val="20"/>
          <w:lang w:val="en-US" w:eastAsia="de-AT"/>
        </w:rPr>
        <w:tab/>
      </w:r>
      <w:r>
        <w:rPr>
          <w:sz w:val="20"/>
          <w:lang w:val="en-US" w:eastAsia="de-AT"/>
        </w:rPr>
        <w:t>Vorsitzender</w:t>
      </w:r>
      <w:r w:rsidRPr="00A2328A">
        <w:rPr>
          <w:sz w:val="20"/>
          <w:lang w:eastAsia="de-AT"/>
        </w:rPr>
        <w:t>-Stellvertreter</w:t>
      </w:r>
    </w:p>
    <w:p w14:paraId="0C104664" w14:textId="7D5373AB" w:rsidR="00DE293B" w:rsidRPr="00DB4904" w:rsidRDefault="00813024" w:rsidP="00813024">
      <w:pPr>
        <w:spacing w:line="360" w:lineRule="auto"/>
        <w:ind w:left="4254" w:firstLine="709"/>
        <w:rPr>
          <w:rFonts w:cs="Helvetica"/>
          <w:color w:val="0A0A0A"/>
          <w:lang w:val="en-US" w:eastAsia="de-AT"/>
        </w:rPr>
      </w:pPr>
      <w:r w:rsidRPr="00A2328A">
        <w:rPr>
          <w:rFonts w:cs="Helvetica"/>
          <w:color w:val="0A0A0A"/>
          <w:sz w:val="20"/>
          <w:lang w:val="en-US" w:eastAsia="de-AT"/>
        </w:rPr>
        <w:t>letzte Wiederwahl</w:t>
      </w:r>
      <w:r>
        <w:rPr>
          <w:rFonts w:cs="Helvetica"/>
          <w:color w:val="0A0A0A"/>
          <w:sz w:val="20"/>
          <w:lang w:val="en-US" w:eastAsia="de-AT"/>
        </w:rPr>
        <w:t xml:space="preserve"> 23.09.2025</w:t>
      </w:r>
      <w:r w:rsidR="00DE293B" w:rsidRPr="00A2328A">
        <w:rPr>
          <w:rFonts w:cs="Helvetica"/>
          <w:color w:val="0A0A0A"/>
          <w:sz w:val="20"/>
          <w:lang w:val="en-US" w:eastAsia="de-AT"/>
        </w:rPr>
        <w:tab/>
      </w:r>
      <w:r w:rsidR="00DE293B" w:rsidRPr="00A2328A">
        <w:rPr>
          <w:rFonts w:cs="Helvetica"/>
          <w:color w:val="0A0A0A"/>
          <w:sz w:val="20"/>
          <w:lang w:val="en-US" w:eastAsia="de-AT"/>
        </w:rPr>
        <w:tab/>
      </w:r>
      <w:r w:rsidR="00DE293B" w:rsidRPr="00A2328A">
        <w:rPr>
          <w:rFonts w:cs="Helvetica"/>
          <w:color w:val="0A0A0A"/>
          <w:sz w:val="20"/>
          <w:lang w:val="en-US" w:eastAsia="de-AT"/>
        </w:rPr>
        <w:tab/>
      </w:r>
      <w:r w:rsidR="00DE293B" w:rsidRPr="00A2328A">
        <w:rPr>
          <w:rFonts w:cs="Helvetica"/>
          <w:color w:val="0A0A0A"/>
          <w:sz w:val="20"/>
          <w:lang w:val="en-US" w:eastAsia="de-AT"/>
        </w:rPr>
        <w:tab/>
        <w:t>Ende der laufende</w:t>
      </w:r>
      <w:r w:rsidR="00DE293B">
        <w:rPr>
          <w:rFonts w:cs="Helvetica"/>
          <w:color w:val="0A0A0A"/>
          <w:sz w:val="20"/>
          <w:lang w:val="en-US" w:eastAsia="de-AT"/>
        </w:rPr>
        <w:t>n</w:t>
      </w:r>
      <w:r w:rsidR="00DE293B" w:rsidRPr="00A2328A">
        <w:rPr>
          <w:rFonts w:cs="Helvetica"/>
          <w:color w:val="0A0A0A"/>
          <w:sz w:val="20"/>
          <w:lang w:val="en-US" w:eastAsia="de-AT"/>
        </w:rPr>
        <w:t xml:space="preserve"> Funktionsperiode</w:t>
      </w:r>
      <w:r w:rsidR="00DE293B">
        <w:rPr>
          <w:rFonts w:cs="Helvetica"/>
          <w:color w:val="0A0A0A"/>
          <w:sz w:val="20"/>
          <w:lang w:val="en-US" w:eastAsia="de-AT"/>
        </w:rPr>
        <w:t xml:space="preserve"> 20</w:t>
      </w:r>
      <w:r>
        <w:rPr>
          <w:rFonts w:cs="Helvetica"/>
          <w:color w:val="0A0A0A"/>
          <w:sz w:val="20"/>
          <w:lang w:val="en-US" w:eastAsia="de-AT"/>
        </w:rPr>
        <w:t>30</w:t>
      </w:r>
    </w:p>
    <w:p w14:paraId="676931A8" w14:textId="77777777" w:rsidR="00A2328A" w:rsidRPr="007568FF" w:rsidRDefault="00A2328A" w:rsidP="00A2328A">
      <w:pPr>
        <w:spacing w:line="360" w:lineRule="auto"/>
        <w:ind w:left="567"/>
        <w:rPr>
          <w:sz w:val="16"/>
          <w:lang w:eastAsia="de-AT"/>
        </w:rPr>
      </w:pPr>
    </w:p>
    <w:p w14:paraId="49A2F73C" w14:textId="77777777" w:rsidR="00A2328A" w:rsidRPr="00A2328A" w:rsidRDefault="00A2328A" w:rsidP="00A2328A">
      <w:pPr>
        <w:spacing w:line="360" w:lineRule="auto"/>
        <w:ind w:left="567"/>
        <w:rPr>
          <w:sz w:val="20"/>
          <w:lang w:val="en-US" w:eastAsia="de-AT"/>
        </w:rPr>
      </w:pPr>
      <w:r w:rsidRPr="00A2328A">
        <w:rPr>
          <w:sz w:val="20"/>
          <w:lang w:val="en-US" w:eastAsia="de-AT"/>
        </w:rPr>
        <w:t>Herbert Andre</w:t>
      </w:r>
      <w:r w:rsidRPr="00A2328A">
        <w:rPr>
          <w:sz w:val="20"/>
          <w:lang w:eastAsia="de-AT"/>
        </w:rPr>
        <w:t xml:space="preserve">, geb. 27.08.1962 </w:t>
      </w:r>
      <w:r w:rsidRPr="00A2328A">
        <w:rPr>
          <w:sz w:val="20"/>
          <w:lang w:eastAsia="de-AT"/>
        </w:rPr>
        <w:tab/>
      </w:r>
      <w:r w:rsidRPr="00A2328A">
        <w:rPr>
          <w:sz w:val="20"/>
          <w:lang w:eastAsia="de-AT"/>
        </w:rPr>
        <w:tab/>
      </w:r>
      <w:r>
        <w:rPr>
          <w:sz w:val="20"/>
          <w:lang w:eastAsia="de-AT"/>
        </w:rPr>
        <w:tab/>
      </w:r>
      <w:r w:rsidRPr="00A2328A">
        <w:rPr>
          <w:sz w:val="20"/>
          <w:lang w:eastAsia="de-AT"/>
        </w:rPr>
        <w:t>Schriftführer</w:t>
      </w:r>
    </w:p>
    <w:p w14:paraId="0BF3A6A5" w14:textId="77777777"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Erstbestellung</w:t>
      </w:r>
      <w:r w:rsidR="007C3CC1">
        <w:rPr>
          <w:rFonts w:cs="Helvetica"/>
          <w:color w:val="0A0A0A"/>
          <w:sz w:val="20"/>
          <w:lang w:val="en-US" w:eastAsia="de-AT"/>
        </w:rPr>
        <w:t xml:space="preserve"> 30.06.2010</w:t>
      </w:r>
    </w:p>
    <w:p w14:paraId="1D4CC65C" w14:textId="0761E27F"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letzte Wiederwahl</w:t>
      </w:r>
      <w:r w:rsidR="007C3CC1">
        <w:rPr>
          <w:rFonts w:cs="Helvetica"/>
          <w:color w:val="0A0A0A"/>
          <w:sz w:val="20"/>
          <w:lang w:val="en-US" w:eastAsia="de-AT"/>
        </w:rPr>
        <w:t xml:space="preserve"> </w:t>
      </w:r>
      <w:r w:rsidR="00813024">
        <w:rPr>
          <w:rFonts w:cs="Helvetica"/>
          <w:color w:val="0A0A0A"/>
          <w:sz w:val="20"/>
          <w:lang w:val="en-US" w:eastAsia="de-AT"/>
        </w:rPr>
        <w:t>29.08.2024</w:t>
      </w:r>
    </w:p>
    <w:p w14:paraId="256276AA" w14:textId="1FE40D90"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Ende der laufende</w:t>
      </w:r>
      <w:r>
        <w:rPr>
          <w:rFonts w:cs="Helvetica"/>
          <w:color w:val="0A0A0A"/>
          <w:sz w:val="20"/>
          <w:lang w:val="en-US" w:eastAsia="de-AT"/>
        </w:rPr>
        <w:t>n</w:t>
      </w:r>
      <w:r w:rsidRPr="00A2328A">
        <w:rPr>
          <w:rFonts w:cs="Helvetica"/>
          <w:color w:val="0A0A0A"/>
          <w:sz w:val="20"/>
          <w:lang w:val="en-US" w:eastAsia="de-AT"/>
        </w:rPr>
        <w:t xml:space="preserve"> Funktionsperiode</w:t>
      </w:r>
      <w:r w:rsidR="007C3CC1">
        <w:rPr>
          <w:rFonts w:cs="Helvetica"/>
          <w:color w:val="0A0A0A"/>
          <w:sz w:val="20"/>
          <w:lang w:val="en-US" w:eastAsia="de-AT"/>
        </w:rPr>
        <w:t xml:space="preserve"> 202</w:t>
      </w:r>
      <w:r w:rsidR="00EF7A5A">
        <w:rPr>
          <w:rFonts w:cs="Helvetica"/>
          <w:color w:val="0A0A0A"/>
          <w:sz w:val="20"/>
          <w:lang w:val="en-US" w:eastAsia="de-AT"/>
        </w:rPr>
        <w:t>9</w:t>
      </w:r>
    </w:p>
    <w:p w14:paraId="4D6F16EC" w14:textId="77777777" w:rsidR="00A2328A" w:rsidRPr="007568FF" w:rsidRDefault="00A2328A" w:rsidP="00A2328A">
      <w:pPr>
        <w:spacing w:line="360" w:lineRule="auto"/>
        <w:ind w:left="567"/>
        <w:rPr>
          <w:sz w:val="16"/>
          <w:lang w:eastAsia="de-AT"/>
        </w:rPr>
      </w:pPr>
    </w:p>
    <w:p w14:paraId="39CF3A4B" w14:textId="77777777" w:rsidR="00160A51" w:rsidRDefault="00A2328A" w:rsidP="00160A51">
      <w:pPr>
        <w:spacing w:line="360" w:lineRule="auto"/>
        <w:ind w:left="567"/>
        <w:rPr>
          <w:rFonts w:cs="Helvetica"/>
          <w:color w:val="0A0A0A"/>
          <w:sz w:val="20"/>
          <w:lang w:val="en-US" w:eastAsia="de-AT"/>
        </w:rPr>
      </w:pPr>
      <w:r w:rsidRPr="00A2328A">
        <w:rPr>
          <w:sz w:val="20"/>
          <w:lang w:val="en-US" w:eastAsia="de-AT"/>
        </w:rPr>
        <w:t>DI Jürgen Putz</w:t>
      </w:r>
      <w:r w:rsidRPr="00A2328A">
        <w:rPr>
          <w:sz w:val="20"/>
          <w:lang w:eastAsia="de-AT"/>
        </w:rPr>
        <w:t>, geb. 12.04.1978</w:t>
      </w:r>
      <w:r w:rsidRPr="00A2328A">
        <w:rPr>
          <w:sz w:val="20"/>
          <w:lang w:eastAsia="de-AT"/>
        </w:rPr>
        <w:tab/>
      </w:r>
      <w:r w:rsidRPr="00A2328A">
        <w:rPr>
          <w:rFonts w:cs="Helvetica"/>
          <w:color w:val="0A0A0A"/>
          <w:sz w:val="20"/>
          <w:lang w:val="en-US" w:eastAsia="de-AT"/>
        </w:rPr>
        <w:tab/>
      </w:r>
      <w:r>
        <w:rPr>
          <w:rFonts w:cs="Helvetica"/>
          <w:color w:val="0A0A0A"/>
          <w:sz w:val="20"/>
          <w:lang w:val="en-US" w:eastAsia="de-AT"/>
        </w:rPr>
        <w:tab/>
      </w:r>
      <w:r w:rsidR="00DE293B">
        <w:rPr>
          <w:rFonts w:cs="Helvetica"/>
          <w:color w:val="0A0A0A"/>
          <w:sz w:val="20"/>
          <w:lang w:val="en-US" w:eastAsia="de-AT"/>
        </w:rPr>
        <w:t>Schriftführer-Stellvertreter</w:t>
      </w:r>
    </w:p>
    <w:p w14:paraId="5DFC31ED" w14:textId="77777777" w:rsidR="00A2328A" w:rsidRPr="00A2328A" w:rsidRDefault="00A2328A" w:rsidP="00160A51">
      <w:pPr>
        <w:spacing w:line="360" w:lineRule="auto"/>
        <w:ind w:left="4821" w:firstLine="142"/>
        <w:rPr>
          <w:rFonts w:cs="Helvetica"/>
          <w:color w:val="0A0A0A"/>
          <w:sz w:val="20"/>
          <w:lang w:val="en-US" w:eastAsia="de-AT"/>
        </w:rPr>
      </w:pPr>
      <w:r w:rsidRPr="00A2328A">
        <w:rPr>
          <w:rFonts w:cs="Helvetica"/>
          <w:color w:val="0A0A0A"/>
          <w:sz w:val="20"/>
          <w:lang w:val="en-US" w:eastAsia="de-AT"/>
        </w:rPr>
        <w:t>Erstbestellung</w:t>
      </w:r>
      <w:r w:rsidR="007C3CC1">
        <w:rPr>
          <w:rFonts w:cs="Helvetica"/>
          <w:color w:val="0A0A0A"/>
          <w:sz w:val="20"/>
          <w:lang w:val="en-US" w:eastAsia="de-AT"/>
        </w:rPr>
        <w:t xml:space="preserve"> 22.06.2016</w:t>
      </w:r>
    </w:p>
    <w:p w14:paraId="2F143368" w14:textId="449ECC1D"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letzte Wiederwahl</w:t>
      </w:r>
      <w:r w:rsidR="007C3CC1">
        <w:rPr>
          <w:rFonts w:cs="Helvetica"/>
          <w:color w:val="0A0A0A"/>
          <w:sz w:val="20"/>
          <w:lang w:val="en-US" w:eastAsia="de-AT"/>
        </w:rPr>
        <w:t xml:space="preserve"> </w:t>
      </w:r>
      <w:r w:rsidR="00813024">
        <w:rPr>
          <w:rFonts w:cs="Helvetica"/>
          <w:color w:val="0A0A0A"/>
          <w:sz w:val="20"/>
          <w:lang w:val="en-US" w:eastAsia="de-AT"/>
        </w:rPr>
        <w:t>29.08.2024</w:t>
      </w:r>
    </w:p>
    <w:p w14:paraId="3504DC3F" w14:textId="27BED7D5" w:rsid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Ende der laufende</w:t>
      </w:r>
      <w:r>
        <w:rPr>
          <w:rFonts w:cs="Helvetica"/>
          <w:color w:val="0A0A0A"/>
          <w:sz w:val="20"/>
          <w:lang w:val="en-US" w:eastAsia="de-AT"/>
        </w:rPr>
        <w:t>n</w:t>
      </w:r>
      <w:r w:rsidRPr="00A2328A">
        <w:rPr>
          <w:rFonts w:cs="Helvetica"/>
          <w:color w:val="0A0A0A"/>
          <w:sz w:val="20"/>
          <w:lang w:val="en-US" w:eastAsia="de-AT"/>
        </w:rPr>
        <w:t xml:space="preserve"> Funktionsperiode</w:t>
      </w:r>
      <w:r w:rsidR="007C3CC1">
        <w:rPr>
          <w:rFonts w:cs="Helvetica"/>
          <w:color w:val="0A0A0A"/>
          <w:sz w:val="20"/>
          <w:lang w:val="en-US" w:eastAsia="de-AT"/>
        </w:rPr>
        <w:t xml:space="preserve"> 202</w:t>
      </w:r>
      <w:r w:rsidR="00EF7A5A">
        <w:rPr>
          <w:rFonts w:cs="Helvetica"/>
          <w:color w:val="0A0A0A"/>
          <w:sz w:val="20"/>
          <w:lang w:val="en-US" w:eastAsia="de-AT"/>
        </w:rPr>
        <w:t>9</w:t>
      </w:r>
    </w:p>
    <w:p w14:paraId="168230F6" w14:textId="77777777" w:rsidR="00DE293B" w:rsidRPr="00A2328A" w:rsidRDefault="00DE293B" w:rsidP="00A2328A">
      <w:pPr>
        <w:spacing w:line="360" w:lineRule="auto"/>
        <w:ind w:left="567"/>
        <w:rPr>
          <w:rFonts w:cs="Helvetica"/>
          <w:color w:val="0A0A0A"/>
          <w:sz w:val="20"/>
          <w:lang w:val="en-US" w:eastAsia="de-AT"/>
        </w:rPr>
      </w:pPr>
    </w:p>
    <w:p w14:paraId="1B9CF934" w14:textId="77777777" w:rsidR="00DE293B" w:rsidRPr="00A2328A" w:rsidRDefault="00DE293B" w:rsidP="00DE293B">
      <w:pPr>
        <w:spacing w:line="360" w:lineRule="auto"/>
        <w:ind w:left="567"/>
        <w:rPr>
          <w:sz w:val="20"/>
          <w:lang w:eastAsia="de-AT"/>
        </w:rPr>
      </w:pPr>
      <w:r>
        <w:rPr>
          <w:sz w:val="20"/>
          <w:lang w:val="en-US" w:eastAsia="de-AT"/>
        </w:rPr>
        <w:t>Mag. (FH) Andrea Völkl, geb. 05.02.1964</w:t>
      </w:r>
      <w:r w:rsidRPr="00A2328A">
        <w:rPr>
          <w:sz w:val="20"/>
          <w:lang w:eastAsia="de-AT"/>
        </w:rPr>
        <w:tab/>
      </w:r>
      <w:r>
        <w:rPr>
          <w:sz w:val="20"/>
          <w:lang w:eastAsia="de-AT"/>
        </w:rPr>
        <w:tab/>
      </w:r>
      <w:r>
        <w:rPr>
          <w:rFonts w:cs="Helvetica"/>
          <w:color w:val="0A0A0A"/>
          <w:sz w:val="20"/>
          <w:lang w:val="en-US" w:eastAsia="de-AT"/>
        </w:rPr>
        <w:t>Mitglied</w:t>
      </w:r>
    </w:p>
    <w:p w14:paraId="7010FD54" w14:textId="77777777" w:rsidR="00DE293B" w:rsidRPr="00A2328A" w:rsidRDefault="00DE293B" w:rsidP="00DE293B">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Erstbestellung</w:t>
      </w:r>
      <w:r>
        <w:rPr>
          <w:rFonts w:cs="Helvetica"/>
          <w:color w:val="0A0A0A"/>
          <w:sz w:val="20"/>
          <w:lang w:val="en-US" w:eastAsia="de-AT"/>
        </w:rPr>
        <w:t xml:space="preserve"> 01.10.2022</w:t>
      </w:r>
    </w:p>
    <w:p w14:paraId="56D37D9E" w14:textId="77777777" w:rsidR="00DE293B" w:rsidRPr="00A2328A" w:rsidRDefault="00DE293B" w:rsidP="00DE293B">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Ende der laufende</w:t>
      </w:r>
      <w:r>
        <w:rPr>
          <w:rFonts w:cs="Helvetica"/>
          <w:color w:val="0A0A0A"/>
          <w:sz w:val="20"/>
          <w:lang w:val="en-US" w:eastAsia="de-AT"/>
        </w:rPr>
        <w:t>n</w:t>
      </w:r>
      <w:r w:rsidRPr="00A2328A">
        <w:rPr>
          <w:rFonts w:cs="Helvetica"/>
          <w:color w:val="0A0A0A"/>
          <w:sz w:val="20"/>
          <w:lang w:val="en-US" w:eastAsia="de-AT"/>
        </w:rPr>
        <w:t xml:space="preserve"> Funktionsperiode</w:t>
      </w:r>
      <w:r>
        <w:rPr>
          <w:rFonts w:cs="Helvetica"/>
          <w:color w:val="0A0A0A"/>
          <w:sz w:val="20"/>
          <w:lang w:val="en-US" w:eastAsia="de-AT"/>
        </w:rPr>
        <w:t xml:space="preserve"> 2027</w:t>
      </w:r>
    </w:p>
    <w:p w14:paraId="0A870B37" w14:textId="77777777" w:rsidR="00A2328A" w:rsidRPr="007568FF" w:rsidRDefault="00A2328A" w:rsidP="00A2328A">
      <w:pPr>
        <w:spacing w:line="360" w:lineRule="auto"/>
        <w:ind w:left="567"/>
        <w:rPr>
          <w:sz w:val="16"/>
          <w:lang w:eastAsia="de-AT"/>
        </w:rPr>
      </w:pPr>
    </w:p>
    <w:p w14:paraId="79C5F745" w14:textId="77777777" w:rsidR="00A92C5E" w:rsidRDefault="00A92C5E" w:rsidP="00752F1D">
      <w:pPr>
        <w:rPr>
          <w:rFonts w:eastAsia="Calibri"/>
        </w:rPr>
      </w:pPr>
    </w:p>
    <w:p w14:paraId="3AAC1E68" w14:textId="77777777" w:rsidR="00A2328A" w:rsidRDefault="00A2328A" w:rsidP="00A2328A">
      <w:pPr>
        <w:jc w:val="both"/>
        <w:rPr>
          <w:sz w:val="20"/>
        </w:rPr>
      </w:pPr>
      <w:r w:rsidRPr="007568FF">
        <w:rPr>
          <w:sz w:val="20"/>
        </w:rPr>
        <w:t>Bei der Besetzung des Aufsichtsrates werden fachliche und persönliche Qualifikationen berücksichtigt. Der Aufsichtsrat besteht aktuell aus Mitgliedern aus unterschiedlichen Berufsbereichen und mit langjährigen Erfahrungen in der Immobilienwirtschaft, Wohnungsgemeinnützigkeit sowie Finanzexperten. Der Aufsichtsrat ist somit so zusammengesetzt, dass seine Mitglieder insgesamt über die zur ordnungsgemäßen Wahrnehmung der Aufgaben erforderlichen Kenntnisse, Fähigkeiten und fachlichen Erfahrungen verfügen und die an eine Diversität gestellte Anforderung</w:t>
      </w:r>
      <w:r w:rsidR="00962235">
        <w:rPr>
          <w:sz w:val="20"/>
        </w:rPr>
        <w:t xml:space="preserve"> erfüllen</w:t>
      </w:r>
      <w:r w:rsidRPr="007568FF">
        <w:rPr>
          <w:sz w:val="20"/>
        </w:rPr>
        <w:t xml:space="preserve">. </w:t>
      </w:r>
    </w:p>
    <w:p w14:paraId="78175DDC" w14:textId="77777777" w:rsidR="007568FF" w:rsidRDefault="007568FF" w:rsidP="00A2328A">
      <w:pPr>
        <w:jc w:val="both"/>
        <w:rPr>
          <w:sz w:val="20"/>
        </w:rPr>
      </w:pPr>
    </w:p>
    <w:p w14:paraId="3378B835" w14:textId="77777777" w:rsidR="00A2328A" w:rsidRDefault="00A2328A" w:rsidP="00A2328A">
      <w:pPr>
        <w:jc w:val="both"/>
        <w:rPr>
          <w:sz w:val="20"/>
        </w:rPr>
      </w:pPr>
      <w:r w:rsidRPr="007568FF">
        <w:rPr>
          <w:sz w:val="20"/>
        </w:rPr>
        <w:t xml:space="preserve">Der Aufsichtsrat berät und überwacht kontinuierlich </w:t>
      </w:r>
      <w:r w:rsidR="00D279AD" w:rsidRPr="007568FF">
        <w:rPr>
          <w:sz w:val="20"/>
        </w:rPr>
        <w:t>die Geschäftsführung</w:t>
      </w:r>
      <w:r w:rsidRPr="007568FF">
        <w:rPr>
          <w:sz w:val="20"/>
        </w:rPr>
        <w:t>. Aufsichtsratssitzungen finden mindestens vier Mal jährlich statt. Sämtliche relevante Ereignisse werden in offe</w:t>
      </w:r>
      <w:r w:rsidR="00D279AD" w:rsidRPr="007568FF">
        <w:rPr>
          <w:sz w:val="20"/>
        </w:rPr>
        <w:t>ner Diskussion zwischen Geschäftsführung</w:t>
      </w:r>
      <w:r w:rsidRPr="007568FF">
        <w:rPr>
          <w:sz w:val="20"/>
        </w:rPr>
        <w:t xml:space="preserve"> und Aufsichtsrat besprochen. Der Aufsichtsrat war in alle kompetenzrelevanten Sachverhalte eingebunden und hat, soweit erforderlich, nach umfassender Beratung und Prüfung seine Entscheidungen getroffen. Darüber hinaus ist d</w:t>
      </w:r>
      <w:r w:rsidR="00D279AD" w:rsidRPr="007568FF">
        <w:rPr>
          <w:sz w:val="20"/>
        </w:rPr>
        <w:t xml:space="preserve">er Aufsichtsrat berechtigt, von der Geschäftsführung </w:t>
      </w:r>
      <w:r w:rsidRPr="007568FF">
        <w:rPr>
          <w:sz w:val="20"/>
        </w:rPr>
        <w:t xml:space="preserve">jederzeit Berichte über Angelegenheiten der </w:t>
      </w:r>
      <w:r w:rsidR="00D279AD" w:rsidRPr="007568FF">
        <w:rPr>
          <w:sz w:val="20"/>
        </w:rPr>
        <w:t>Kamptal</w:t>
      </w:r>
      <w:r w:rsidRPr="007568FF">
        <w:rPr>
          <w:sz w:val="20"/>
        </w:rPr>
        <w:t xml:space="preserve"> zu verlangen.</w:t>
      </w:r>
    </w:p>
    <w:p w14:paraId="393FA9B0" w14:textId="77777777" w:rsidR="005D0906" w:rsidRPr="007568FF" w:rsidRDefault="005D0906" w:rsidP="00A2328A">
      <w:pPr>
        <w:jc w:val="both"/>
        <w:rPr>
          <w:sz w:val="20"/>
        </w:rPr>
      </w:pPr>
    </w:p>
    <w:p w14:paraId="5A5D9602" w14:textId="27A15A5C" w:rsidR="00160A51" w:rsidRPr="00160A51" w:rsidRDefault="00160A51" w:rsidP="00160A51">
      <w:pPr>
        <w:jc w:val="both"/>
        <w:rPr>
          <w:sz w:val="20"/>
        </w:rPr>
      </w:pPr>
      <w:r w:rsidRPr="00160A51">
        <w:rPr>
          <w:sz w:val="20"/>
        </w:rPr>
        <w:t>Der Aufsic</w:t>
      </w:r>
      <w:r w:rsidR="0071409A">
        <w:rPr>
          <w:sz w:val="20"/>
        </w:rPr>
        <w:t>htsrat hat im Geschäftsjahr 202</w:t>
      </w:r>
      <w:r w:rsidR="00CD7153">
        <w:rPr>
          <w:sz w:val="20"/>
        </w:rPr>
        <w:t>5</w:t>
      </w:r>
      <w:r>
        <w:rPr>
          <w:sz w:val="20"/>
        </w:rPr>
        <w:t xml:space="preserve"> die ihm nach Gesetz und </w:t>
      </w:r>
      <w:r w:rsidRPr="00160A51">
        <w:rPr>
          <w:sz w:val="20"/>
        </w:rPr>
        <w:t xml:space="preserve">Gesellschaftsvertrag zukommenden Aufgaben im Rahmen von vier Aufsichtsratssitzungen wahrgenommen. In den Sitzungen des Aufsichtsrates wurden neben den laufenden Berichten über die aktuelle geschäftliche und finanzielle </w:t>
      </w:r>
      <w:r w:rsidRPr="00160A51">
        <w:rPr>
          <w:sz w:val="20"/>
        </w:rPr>
        <w:lastRenderedPageBreak/>
        <w:t xml:space="preserve">Situation des Unternehmens insbesondere die Themen rund um die Auswirkungen und Risiken, verursacht durch </w:t>
      </w:r>
      <w:r w:rsidR="00FB1814">
        <w:rPr>
          <w:sz w:val="20"/>
        </w:rPr>
        <w:t>die Neugestaltung der Wohnbauförderung</w:t>
      </w:r>
      <w:r w:rsidRPr="00160A51">
        <w:rPr>
          <w:sz w:val="20"/>
        </w:rPr>
        <w:t>, behandelt.</w:t>
      </w:r>
    </w:p>
    <w:p w14:paraId="5350B918" w14:textId="77777777" w:rsidR="00160A51" w:rsidRPr="00160A51" w:rsidRDefault="00160A51" w:rsidP="00160A51">
      <w:pPr>
        <w:jc w:val="both"/>
        <w:rPr>
          <w:sz w:val="20"/>
        </w:rPr>
      </w:pPr>
    </w:p>
    <w:p w14:paraId="5AD9BCE9" w14:textId="77777777" w:rsidR="00420595" w:rsidRDefault="00160A51" w:rsidP="00160A51">
      <w:pPr>
        <w:jc w:val="both"/>
        <w:rPr>
          <w:sz w:val="20"/>
        </w:rPr>
      </w:pPr>
      <w:r w:rsidRPr="00160A51">
        <w:rPr>
          <w:sz w:val="20"/>
        </w:rPr>
        <w:t>Sämtliche von der Generalversammlung gewählten Mitglieder des Aufsichtsrates haben bestätigt, dass sie sich auf der Grundlage der vom Aufsichtsrat festgelegten Kriterien als unabhängig betrachten.</w:t>
      </w:r>
    </w:p>
    <w:p w14:paraId="6E3125C3" w14:textId="77777777" w:rsidR="00420595" w:rsidRDefault="00420595" w:rsidP="00A2328A">
      <w:pPr>
        <w:jc w:val="both"/>
        <w:rPr>
          <w:sz w:val="20"/>
        </w:rPr>
      </w:pPr>
    </w:p>
    <w:p w14:paraId="107B9B02" w14:textId="50D67497" w:rsidR="0051727A" w:rsidRDefault="0051727A" w:rsidP="00A2328A">
      <w:pPr>
        <w:jc w:val="both"/>
        <w:rPr>
          <w:sz w:val="20"/>
        </w:rPr>
      </w:pPr>
      <w:r>
        <w:rPr>
          <w:sz w:val="20"/>
        </w:rPr>
        <w:t>Geschäftsführung und Aufsichtsrat arbeiten zum Wohle des Unternehmens eng zusammen und stehen im regelmäßigen Kontakt.</w:t>
      </w:r>
    </w:p>
    <w:p w14:paraId="6E8291FD" w14:textId="77777777" w:rsidR="007568FF" w:rsidRPr="007568FF" w:rsidRDefault="007568FF" w:rsidP="00A2328A">
      <w:pPr>
        <w:jc w:val="both"/>
        <w:rPr>
          <w:sz w:val="20"/>
        </w:rPr>
      </w:pPr>
    </w:p>
    <w:p w14:paraId="22278355" w14:textId="77777777" w:rsidR="00752F1D" w:rsidRPr="00356C7D" w:rsidRDefault="00356C7D" w:rsidP="00752F1D">
      <w:pPr>
        <w:rPr>
          <w:rFonts w:eastAsia="Calibri"/>
          <w:b/>
          <w:u w:val="single"/>
        </w:rPr>
      </w:pPr>
      <w:r>
        <w:rPr>
          <w:rFonts w:eastAsia="Calibri"/>
          <w:b/>
          <w:u w:val="single"/>
        </w:rPr>
        <w:t>Maßnahmen zur Gleichstellungsförderung von Frauen</w:t>
      </w:r>
    </w:p>
    <w:p w14:paraId="60E6276C" w14:textId="77777777" w:rsidR="00752F1D" w:rsidRPr="00DB4904" w:rsidRDefault="00752F1D" w:rsidP="00752F1D">
      <w:pPr>
        <w:rPr>
          <w:rFonts w:eastAsia="Calibri"/>
        </w:rPr>
      </w:pPr>
    </w:p>
    <w:p w14:paraId="78834860" w14:textId="77777777" w:rsidR="00752F1D" w:rsidRPr="007568FF" w:rsidRDefault="00752F1D" w:rsidP="00752F1D">
      <w:pPr>
        <w:jc w:val="both"/>
        <w:rPr>
          <w:rFonts w:cs="Helvetica"/>
          <w:color w:val="0A0A0A"/>
          <w:sz w:val="20"/>
        </w:rPr>
      </w:pPr>
      <w:r w:rsidRPr="007568FF">
        <w:rPr>
          <w:rFonts w:cs="Helvetica"/>
          <w:color w:val="0A0A0A"/>
          <w:sz w:val="20"/>
        </w:rPr>
        <w:t>Als gemeinnützige Ge</w:t>
      </w:r>
      <w:r w:rsidR="000E594D" w:rsidRPr="007568FF">
        <w:rPr>
          <w:rFonts w:cs="Helvetica"/>
          <w:color w:val="0A0A0A"/>
          <w:sz w:val="20"/>
        </w:rPr>
        <w:t>sell</w:t>
      </w:r>
      <w:r w:rsidRPr="007568FF">
        <w:rPr>
          <w:rFonts w:cs="Helvetica"/>
          <w:color w:val="0A0A0A"/>
          <w:sz w:val="20"/>
        </w:rPr>
        <w:t>schaft ist für „</w:t>
      </w:r>
      <w:r w:rsidR="000E594D" w:rsidRPr="007568FF">
        <w:rPr>
          <w:rFonts w:cs="Helvetica"/>
          <w:color w:val="0A0A0A"/>
          <w:sz w:val="20"/>
        </w:rPr>
        <w:t>Kamptal</w:t>
      </w:r>
      <w:r w:rsidRPr="007568FF">
        <w:rPr>
          <w:rFonts w:cs="Helvetica"/>
          <w:color w:val="0A0A0A"/>
          <w:sz w:val="20"/>
        </w:rPr>
        <w:t xml:space="preserve">“ Chancengleichheit am Arbeitsplatz selbstverständlich. </w:t>
      </w:r>
      <w:r w:rsidR="000E594D" w:rsidRPr="007568FF">
        <w:rPr>
          <w:rFonts w:cs="Helvetica"/>
          <w:color w:val="0A0A0A"/>
          <w:sz w:val="20"/>
        </w:rPr>
        <w:t>Kamptal</w:t>
      </w:r>
      <w:r w:rsidRPr="007568FF">
        <w:rPr>
          <w:rFonts w:cs="Helvetica"/>
          <w:color w:val="0A0A0A"/>
          <w:sz w:val="20"/>
          <w:lang w:val="en-US"/>
        </w:rPr>
        <w:t xml:space="preserve"> </w:t>
      </w:r>
      <w:r w:rsidRPr="007568FF">
        <w:rPr>
          <w:rFonts w:cs="Helvetica"/>
          <w:color w:val="0A0A0A"/>
          <w:sz w:val="20"/>
        </w:rPr>
        <w:t>verfolgt eine aktive Gleichstellungspolitik und setzt sich für Chancengleichheit unabhängig von Geschlecht, Hautfarbe, Nationalität, politischer Einstellung oder sexueller Orientierung ein. Sie sorgt aktiv und nachhaltig für ein diskriminierungsfreies, gleichstellungsorientiertes Arbeitsumfeld sowie für eine Kultur der Anerkennung und gegenseitigen Wertschätzung und tritt jeder Form von Diskriminierung oder Mobbing entschieden entgegen.</w:t>
      </w:r>
    </w:p>
    <w:p w14:paraId="5F7C8B86" w14:textId="77777777" w:rsidR="00752F1D" w:rsidRPr="007568FF" w:rsidRDefault="00752F1D" w:rsidP="00752F1D">
      <w:pPr>
        <w:jc w:val="both"/>
        <w:rPr>
          <w:sz w:val="20"/>
        </w:rPr>
      </w:pPr>
    </w:p>
    <w:p w14:paraId="48018F3C" w14:textId="77777777" w:rsidR="00752F1D" w:rsidRPr="007568FF" w:rsidRDefault="00752F1D" w:rsidP="00752F1D">
      <w:pPr>
        <w:jc w:val="both"/>
        <w:rPr>
          <w:rFonts w:eastAsia="Calibri"/>
          <w:sz w:val="20"/>
        </w:rPr>
      </w:pPr>
      <w:r w:rsidRPr="007568FF">
        <w:rPr>
          <w:rFonts w:eastAsia="Calibri"/>
          <w:sz w:val="20"/>
        </w:rPr>
        <w:t>Die Aufsichtsräte</w:t>
      </w:r>
      <w:r w:rsidR="005D0906">
        <w:rPr>
          <w:rFonts w:eastAsia="Calibri"/>
          <w:sz w:val="20"/>
        </w:rPr>
        <w:t>/innen</w:t>
      </w:r>
      <w:r w:rsidRPr="007568FF">
        <w:rPr>
          <w:rFonts w:eastAsia="Calibri"/>
          <w:sz w:val="20"/>
        </w:rPr>
        <w:t xml:space="preserve"> und </w:t>
      </w:r>
      <w:r w:rsidR="000E594D" w:rsidRPr="007568FF">
        <w:rPr>
          <w:rFonts w:eastAsia="Calibri"/>
          <w:sz w:val="20"/>
        </w:rPr>
        <w:t>Geschäftsführer</w:t>
      </w:r>
      <w:r w:rsidR="005D0906">
        <w:rPr>
          <w:rFonts w:eastAsia="Calibri"/>
          <w:sz w:val="20"/>
        </w:rPr>
        <w:t>/innen</w:t>
      </w:r>
      <w:r w:rsidRPr="007568FF">
        <w:rPr>
          <w:rFonts w:eastAsia="Calibri"/>
          <w:sz w:val="20"/>
        </w:rPr>
        <w:t xml:space="preserve"> werden entsprechend ihrer fachlichen Qualifikation und persönlichen Kompetenz ausgewählt, unter Berücksichtigung auf eine im Ganzen ausgewogene Besetzung mit diversem Bildungs- und Berufshintergrund. Im Rahmen der Wahlvorschläge für Neubesetzungen im Aufsichtsrat und </w:t>
      </w:r>
      <w:r w:rsidR="009B4951" w:rsidRPr="007568FF">
        <w:rPr>
          <w:rFonts w:eastAsia="Calibri"/>
          <w:sz w:val="20"/>
        </w:rPr>
        <w:t>in der Geschäftsführung</w:t>
      </w:r>
      <w:r w:rsidRPr="007568FF">
        <w:rPr>
          <w:rFonts w:eastAsia="Calibri"/>
          <w:sz w:val="20"/>
        </w:rPr>
        <w:t xml:space="preserve"> achtet </w:t>
      </w:r>
      <w:r w:rsidR="000E594D" w:rsidRPr="007568FF">
        <w:rPr>
          <w:rFonts w:eastAsia="Calibri"/>
          <w:sz w:val="20"/>
        </w:rPr>
        <w:t xml:space="preserve">Kamptal </w:t>
      </w:r>
      <w:r w:rsidRPr="007568FF">
        <w:rPr>
          <w:rFonts w:eastAsia="Calibri"/>
          <w:sz w:val="20"/>
        </w:rPr>
        <w:t>auf eine Förderung von Generationen- und Geschlechtervielfalt.</w:t>
      </w:r>
    </w:p>
    <w:p w14:paraId="7EE0DECA" w14:textId="77777777" w:rsidR="00752F1D" w:rsidRPr="008F74DA" w:rsidRDefault="00752F1D" w:rsidP="00752F1D">
      <w:pPr>
        <w:jc w:val="both"/>
        <w:rPr>
          <w:rFonts w:eastAsia="Calibri"/>
          <w:spacing w:val="-2"/>
          <w:sz w:val="20"/>
        </w:rPr>
      </w:pPr>
      <w:r w:rsidRPr="007568FF">
        <w:rPr>
          <w:rFonts w:eastAsia="Calibri"/>
          <w:sz w:val="20"/>
        </w:rPr>
        <w:br/>
      </w:r>
      <w:r w:rsidRPr="008F74DA">
        <w:rPr>
          <w:rFonts w:eastAsia="Calibri"/>
          <w:spacing w:val="-2"/>
          <w:sz w:val="20"/>
        </w:rPr>
        <w:t xml:space="preserve">Letztendlich </w:t>
      </w:r>
      <w:r w:rsidR="008F74DA" w:rsidRPr="008F74DA">
        <w:rPr>
          <w:rFonts w:eastAsia="Calibri"/>
          <w:spacing w:val="-2"/>
          <w:sz w:val="20"/>
        </w:rPr>
        <w:t>obliegt</w:t>
      </w:r>
      <w:r w:rsidRPr="008F74DA">
        <w:rPr>
          <w:rFonts w:eastAsia="Calibri"/>
          <w:spacing w:val="-2"/>
          <w:sz w:val="20"/>
        </w:rPr>
        <w:t xml:space="preserve"> die </w:t>
      </w:r>
      <w:r w:rsidR="00160A51" w:rsidRPr="008F74DA">
        <w:rPr>
          <w:rFonts w:eastAsia="Calibri"/>
          <w:spacing w:val="-2"/>
          <w:sz w:val="20"/>
        </w:rPr>
        <w:t>Bestellung</w:t>
      </w:r>
      <w:r w:rsidRPr="008F74DA">
        <w:rPr>
          <w:rFonts w:eastAsia="Calibri"/>
          <w:spacing w:val="-2"/>
          <w:sz w:val="20"/>
        </w:rPr>
        <w:t xml:space="preserve"> der Aufsichtsräte </w:t>
      </w:r>
      <w:r w:rsidR="00160A51" w:rsidRPr="008F74DA">
        <w:rPr>
          <w:rFonts w:eastAsia="Calibri"/>
          <w:spacing w:val="-2"/>
          <w:sz w:val="20"/>
        </w:rPr>
        <w:t>allein</w:t>
      </w:r>
      <w:r w:rsidRPr="008F74DA">
        <w:rPr>
          <w:rFonts w:eastAsia="Calibri"/>
          <w:spacing w:val="-2"/>
          <w:sz w:val="20"/>
        </w:rPr>
        <w:t xml:space="preserve"> der </w:t>
      </w:r>
      <w:r w:rsidR="00CC496B" w:rsidRPr="008F74DA">
        <w:rPr>
          <w:rFonts w:eastAsia="Calibri"/>
          <w:spacing w:val="-2"/>
          <w:sz w:val="20"/>
        </w:rPr>
        <w:t>Generalversammlung</w:t>
      </w:r>
      <w:r w:rsidRPr="008F74DA">
        <w:rPr>
          <w:rFonts w:eastAsia="Calibri"/>
          <w:spacing w:val="-2"/>
          <w:sz w:val="20"/>
        </w:rPr>
        <w:t>.</w:t>
      </w:r>
    </w:p>
    <w:p w14:paraId="13CFDE1A" w14:textId="77777777" w:rsidR="00752F1D" w:rsidRDefault="00752F1D" w:rsidP="00752F1D">
      <w:pPr>
        <w:rPr>
          <w:rFonts w:eastAsia="Calibri"/>
          <w:sz w:val="20"/>
        </w:rPr>
      </w:pPr>
    </w:p>
    <w:p w14:paraId="28884285" w14:textId="77777777" w:rsidR="00752F1D" w:rsidRDefault="00132159" w:rsidP="000F54DC">
      <w:pPr>
        <w:jc w:val="both"/>
        <w:rPr>
          <w:rFonts w:eastAsia="Calibri"/>
          <w:sz w:val="20"/>
        </w:rPr>
      </w:pPr>
      <w:r>
        <w:rPr>
          <w:rFonts w:eastAsia="Calibri"/>
          <w:sz w:val="20"/>
        </w:rPr>
        <w:t>F</w:t>
      </w:r>
      <w:r w:rsidR="000F54DC" w:rsidRPr="000F54DC">
        <w:rPr>
          <w:rFonts w:eastAsia="Calibri"/>
          <w:sz w:val="20"/>
        </w:rPr>
        <w:t xml:space="preserve">ür die Besetzung von Managementpositionen </w:t>
      </w:r>
      <w:r>
        <w:rPr>
          <w:rFonts w:eastAsia="Calibri"/>
          <w:sz w:val="20"/>
        </w:rPr>
        <w:t xml:space="preserve">bzw. </w:t>
      </w:r>
      <w:r w:rsidR="000F54DC" w:rsidRPr="000F54DC">
        <w:rPr>
          <w:rFonts w:eastAsia="Calibri"/>
          <w:sz w:val="20"/>
        </w:rPr>
        <w:t>der Gremien durch weibliche Mitarbeiter</w:t>
      </w:r>
      <w:r>
        <w:rPr>
          <w:rFonts w:eastAsia="Calibri"/>
          <w:sz w:val="20"/>
        </w:rPr>
        <w:t xml:space="preserve"> wird keine konkrete Zielquote verfolgt</w:t>
      </w:r>
      <w:r w:rsidR="000F54DC" w:rsidRPr="000F54DC">
        <w:rPr>
          <w:rFonts w:eastAsia="Calibri"/>
          <w:sz w:val="20"/>
        </w:rPr>
        <w:t>. Kamptal legt in diesem Zusammenhang jedoch größten Wert auf Gleichbehandlung der Geschlechter. Das strategische Ziel ist, bei jeder Neubesetzung von Organen und leitenden Positionen zukünftig möglichst divers zu besetzen.</w:t>
      </w:r>
    </w:p>
    <w:p w14:paraId="0E6CAF34" w14:textId="77777777" w:rsidR="00160A51" w:rsidRPr="00160A51" w:rsidRDefault="00160A51" w:rsidP="00160A51">
      <w:pPr>
        <w:rPr>
          <w:rFonts w:eastAsia="Calibri"/>
          <w:sz w:val="20"/>
        </w:rPr>
      </w:pPr>
    </w:p>
    <w:p w14:paraId="7A8A0AEB" w14:textId="5E9C6E11" w:rsidR="000F54DC" w:rsidRDefault="00160A51" w:rsidP="00952249">
      <w:pPr>
        <w:ind w:left="3165" w:hanging="3165"/>
        <w:rPr>
          <w:rFonts w:eastAsia="Calibri"/>
          <w:sz w:val="20"/>
        </w:rPr>
      </w:pPr>
      <w:r w:rsidRPr="00160A51">
        <w:rPr>
          <w:rFonts w:eastAsia="Calibri"/>
          <w:sz w:val="20"/>
        </w:rPr>
        <w:t>Frauen im Aufsichtsrat:</w:t>
      </w:r>
      <w:r>
        <w:rPr>
          <w:rFonts w:eastAsia="Calibri"/>
          <w:sz w:val="20"/>
        </w:rPr>
        <w:t xml:space="preserve"> </w:t>
      </w:r>
      <w:r>
        <w:rPr>
          <w:rFonts w:eastAsia="Calibri"/>
          <w:sz w:val="20"/>
        </w:rPr>
        <w:tab/>
      </w:r>
      <w:r w:rsidRPr="00160A51">
        <w:rPr>
          <w:rFonts w:eastAsia="Calibri"/>
          <w:sz w:val="20"/>
        </w:rPr>
        <w:t xml:space="preserve">Im Berichtsjahr besteht der Aufsichtsrat aus </w:t>
      </w:r>
      <w:r w:rsidR="0071409A">
        <w:rPr>
          <w:rFonts w:eastAsia="Calibri"/>
          <w:sz w:val="20"/>
        </w:rPr>
        <w:t>2 Frauen und</w:t>
      </w:r>
      <w:r w:rsidR="00952249">
        <w:rPr>
          <w:rFonts w:eastAsia="Calibri"/>
          <w:sz w:val="20"/>
        </w:rPr>
        <w:t xml:space="preserve"> </w:t>
      </w:r>
      <w:r w:rsidR="0051727A">
        <w:rPr>
          <w:rFonts w:eastAsia="Calibri"/>
          <w:sz w:val="20"/>
        </w:rPr>
        <w:t xml:space="preserve">3 </w:t>
      </w:r>
      <w:r w:rsidRPr="00160A51">
        <w:rPr>
          <w:rFonts w:eastAsia="Calibri"/>
          <w:sz w:val="20"/>
        </w:rPr>
        <w:t>Männern</w:t>
      </w:r>
      <w:r w:rsidR="00952249">
        <w:rPr>
          <w:rFonts w:eastAsia="Calibri"/>
          <w:sz w:val="20"/>
        </w:rPr>
        <w:t>, wobei der Vorsitz von einer Frau besetzt ist.</w:t>
      </w:r>
    </w:p>
    <w:p w14:paraId="1CD1DFF2" w14:textId="77777777" w:rsidR="00FB65A6" w:rsidRPr="00160A51" w:rsidRDefault="00FB65A6" w:rsidP="00952249">
      <w:pPr>
        <w:ind w:left="3165" w:hanging="3165"/>
        <w:rPr>
          <w:rFonts w:eastAsia="Calibri"/>
          <w:sz w:val="20"/>
        </w:rPr>
      </w:pPr>
    </w:p>
    <w:p w14:paraId="3A890315" w14:textId="77777777" w:rsidR="00160A51" w:rsidRDefault="00160A51" w:rsidP="00160A51">
      <w:pPr>
        <w:rPr>
          <w:rFonts w:eastAsia="Calibri"/>
          <w:sz w:val="20"/>
        </w:rPr>
      </w:pPr>
      <w:r w:rsidRPr="00160A51">
        <w:rPr>
          <w:rFonts w:eastAsia="Calibri"/>
          <w:sz w:val="20"/>
        </w:rPr>
        <w:t>Frauen in der Geschäftsführung:</w:t>
      </w:r>
      <w:r w:rsidR="0071409A">
        <w:rPr>
          <w:rFonts w:eastAsia="Calibri"/>
          <w:sz w:val="20"/>
        </w:rPr>
        <w:t xml:space="preserve">     </w:t>
      </w:r>
      <w:r w:rsidRPr="00160A51">
        <w:rPr>
          <w:rFonts w:eastAsia="Calibri"/>
          <w:sz w:val="20"/>
        </w:rPr>
        <w:t>Im Berichtsjahr sind 2 Männer als Geschäftsführer beschäftigt.</w:t>
      </w:r>
    </w:p>
    <w:p w14:paraId="35481100" w14:textId="77777777" w:rsidR="00160A51" w:rsidRDefault="00160A51" w:rsidP="00160A51">
      <w:pPr>
        <w:rPr>
          <w:rFonts w:eastAsia="Calibri"/>
          <w:sz w:val="20"/>
        </w:rPr>
      </w:pPr>
    </w:p>
    <w:p w14:paraId="28C0F4B5" w14:textId="2BA34013" w:rsidR="000F54DC" w:rsidRDefault="0051727A" w:rsidP="00160A51">
      <w:pPr>
        <w:rPr>
          <w:rFonts w:eastAsia="Calibri"/>
          <w:sz w:val="20"/>
        </w:rPr>
      </w:pPr>
      <w:r>
        <w:rPr>
          <w:rFonts w:eastAsia="Calibri"/>
          <w:sz w:val="20"/>
        </w:rPr>
        <w:t>Bei der Besetzung von leitenden Positionen wird auf die entsprechende Qualifikation geachtet.</w:t>
      </w:r>
    </w:p>
    <w:p w14:paraId="48A8AEE4" w14:textId="77777777" w:rsidR="0051727A" w:rsidRDefault="0051727A" w:rsidP="00160A51">
      <w:pPr>
        <w:rPr>
          <w:rFonts w:eastAsia="Calibri"/>
          <w:sz w:val="20"/>
        </w:rPr>
      </w:pPr>
    </w:p>
    <w:p w14:paraId="0D789714" w14:textId="77777777" w:rsidR="00752F1D" w:rsidRPr="007568FF" w:rsidRDefault="00752F1D" w:rsidP="00752F1D">
      <w:pPr>
        <w:jc w:val="both"/>
        <w:rPr>
          <w:rFonts w:eastAsia="Calibri"/>
          <w:sz w:val="20"/>
          <w:u w:val="single"/>
        </w:rPr>
      </w:pPr>
      <w:r w:rsidRPr="007568FF">
        <w:rPr>
          <w:rFonts w:eastAsia="Calibri"/>
          <w:sz w:val="20"/>
          <w:u w:val="single"/>
        </w:rPr>
        <w:t>Frauen im Unternehmen</w:t>
      </w:r>
      <w:r w:rsidR="00356C7D" w:rsidRPr="007568FF">
        <w:rPr>
          <w:rFonts w:eastAsia="Calibri"/>
          <w:sz w:val="20"/>
          <w:u w:val="single"/>
        </w:rPr>
        <w:t>:</w:t>
      </w:r>
    </w:p>
    <w:p w14:paraId="66488D24" w14:textId="77777777" w:rsidR="00752F1D" w:rsidRPr="007568FF" w:rsidRDefault="00752F1D" w:rsidP="00752F1D">
      <w:pPr>
        <w:jc w:val="both"/>
        <w:rPr>
          <w:rFonts w:eastAsia="Calibri"/>
          <w:sz w:val="20"/>
        </w:rPr>
      </w:pPr>
    </w:p>
    <w:p w14:paraId="085B84BC" w14:textId="405ECEB8" w:rsidR="00160A51" w:rsidRPr="007568FF" w:rsidRDefault="00752F1D" w:rsidP="00752F1D">
      <w:pPr>
        <w:jc w:val="both"/>
        <w:rPr>
          <w:rFonts w:eastAsia="Calibri"/>
          <w:sz w:val="20"/>
        </w:rPr>
      </w:pPr>
      <w:r w:rsidRPr="007568FF">
        <w:rPr>
          <w:rFonts w:eastAsia="Calibri"/>
          <w:sz w:val="20"/>
        </w:rPr>
        <w:t>Mit Stichtag 31.12.20</w:t>
      </w:r>
      <w:r w:rsidR="00796B2E" w:rsidRPr="007568FF">
        <w:rPr>
          <w:rFonts w:eastAsia="Calibri"/>
          <w:sz w:val="20"/>
        </w:rPr>
        <w:t>2</w:t>
      </w:r>
      <w:r w:rsidR="00CD7153">
        <w:rPr>
          <w:rFonts w:eastAsia="Calibri"/>
          <w:sz w:val="20"/>
        </w:rPr>
        <w:t>5</w:t>
      </w:r>
      <w:r w:rsidRPr="007568FF">
        <w:rPr>
          <w:rFonts w:eastAsia="Calibri"/>
          <w:sz w:val="20"/>
        </w:rPr>
        <w:t xml:space="preserve"> waren in „</w:t>
      </w:r>
      <w:r w:rsidR="00FD46F8" w:rsidRPr="007568FF">
        <w:rPr>
          <w:rFonts w:eastAsia="Calibri"/>
          <w:sz w:val="20"/>
        </w:rPr>
        <w:t>Kamptal</w:t>
      </w:r>
      <w:r w:rsidRPr="007568FF">
        <w:rPr>
          <w:rFonts w:eastAsia="Calibri"/>
          <w:sz w:val="20"/>
        </w:rPr>
        <w:t>“</w:t>
      </w:r>
      <w:r w:rsidRPr="007568FF">
        <w:rPr>
          <w:rFonts w:eastAsia="Calibri"/>
          <w:sz w:val="20"/>
          <w:lang w:val="en-US"/>
        </w:rPr>
        <w:t xml:space="preserve"> </w:t>
      </w:r>
      <w:r w:rsidR="008B15D1" w:rsidRPr="007568FF">
        <w:rPr>
          <w:rFonts w:eastAsia="Calibri"/>
          <w:sz w:val="20"/>
          <w:lang w:val="en-US"/>
        </w:rPr>
        <w:t>1</w:t>
      </w:r>
      <w:r w:rsidR="00CD7153">
        <w:rPr>
          <w:rFonts w:eastAsia="Calibri"/>
          <w:sz w:val="20"/>
          <w:lang w:val="en-US"/>
        </w:rPr>
        <w:t>4</w:t>
      </w:r>
      <w:r w:rsidRPr="007568FF">
        <w:rPr>
          <w:rFonts w:eastAsia="Calibri"/>
          <w:sz w:val="20"/>
          <w:lang w:val="en-US"/>
        </w:rPr>
        <w:t xml:space="preserve"> </w:t>
      </w:r>
      <w:r w:rsidRPr="007568FF">
        <w:rPr>
          <w:rFonts w:eastAsia="Calibri"/>
          <w:sz w:val="20"/>
        </w:rPr>
        <w:t xml:space="preserve">Frauen und </w:t>
      </w:r>
      <w:r w:rsidR="00EF7A5A">
        <w:rPr>
          <w:rFonts w:eastAsia="Calibri"/>
          <w:sz w:val="20"/>
        </w:rPr>
        <w:t>7</w:t>
      </w:r>
      <w:r w:rsidRPr="007568FF">
        <w:rPr>
          <w:rFonts w:eastAsia="Calibri"/>
          <w:sz w:val="20"/>
        </w:rPr>
        <w:t xml:space="preserve"> Männer im Angestelltenverhältnis beschäftigt (ohne Hausbesorger, </w:t>
      </w:r>
      <w:r w:rsidR="00B92AAD" w:rsidRPr="007568FF">
        <w:rPr>
          <w:rFonts w:eastAsia="Calibri"/>
          <w:sz w:val="20"/>
        </w:rPr>
        <w:t xml:space="preserve">Geschäftsführung, </w:t>
      </w:r>
      <w:r w:rsidR="00673067" w:rsidRPr="007568FF">
        <w:rPr>
          <w:rFonts w:eastAsia="Calibri"/>
          <w:sz w:val="20"/>
        </w:rPr>
        <w:t>Organe)</w:t>
      </w:r>
      <w:r w:rsidRPr="007568FF">
        <w:rPr>
          <w:rFonts w:eastAsia="Calibri"/>
          <w:sz w:val="20"/>
        </w:rPr>
        <w:t>.</w:t>
      </w:r>
      <w:r w:rsidRPr="007568FF">
        <w:rPr>
          <w:rFonts w:eastAsia="Calibri"/>
          <w:sz w:val="20"/>
        </w:rPr>
        <w:br/>
      </w:r>
    </w:p>
    <w:p w14:paraId="39FFCDEE" w14:textId="77777777" w:rsidR="00356C7D" w:rsidRPr="007568FF" w:rsidRDefault="00356C7D" w:rsidP="00356C7D">
      <w:pPr>
        <w:jc w:val="both"/>
        <w:rPr>
          <w:sz w:val="20"/>
        </w:rPr>
      </w:pPr>
      <w:r w:rsidRPr="007568FF">
        <w:rPr>
          <w:sz w:val="20"/>
        </w:rPr>
        <w:t>Fortbildungen stehen allen Mitarbeiterinnen und Mitarbeitern gleichermaßen offen, sodass Frauen und Männern die Möglichkeit eines beruflichen Aufstiegs im Unternehmen in gleichem Maße möglich ist. Ein spezielles Ausbildung- bzw. Förderprogramm für Frauen gibt es nicht. Kamptal unterstützt Frauen aber zunehmend im Rahmen der internen sowie externen Recruiting- und Personalentwicklungsmaßnahmen. Das strategische Ziel ist es, in allen Führungsebenen die bestmögliche Diversität zu erreichen.</w:t>
      </w:r>
    </w:p>
    <w:p w14:paraId="258BEEB1" w14:textId="77777777" w:rsidR="00752F1D" w:rsidRPr="007568FF" w:rsidRDefault="00752F1D" w:rsidP="00752F1D">
      <w:pPr>
        <w:jc w:val="both"/>
        <w:rPr>
          <w:rFonts w:eastAsia="Calibri"/>
          <w:sz w:val="20"/>
        </w:rPr>
      </w:pPr>
    </w:p>
    <w:p w14:paraId="0450BDDE" w14:textId="77777777" w:rsidR="00752F1D" w:rsidRPr="007568FF" w:rsidRDefault="000E594D" w:rsidP="00752F1D">
      <w:pPr>
        <w:jc w:val="both"/>
        <w:rPr>
          <w:rFonts w:eastAsia="Calibri"/>
          <w:sz w:val="20"/>
        </w:rPr>
      </w:pPr>
      <w:r w:rsidRPr="007568FF">
        <w:rPr>
          <w:rFonts w:eastAsia="Calibri"/>
          <w:sz w:val="20"/>
        </w:rPr>
        <w:t>Kamptal</w:t>
      </w:r>
      <w:r w:rsidR="009B4951" w:rsidRPr="007568FF">
        <w:rPr>
          <w:rFonts w:eastAsia="Calibri"/>
          <w:sz w:val="20"/>
        </w:rPr>
        <w:t xml:space="preserve"> </w:t>
      </w:r>
      <w:r w:rsidR="00752F1D" w:rsidRPr="007568FF">
        <w:rPr>
          <w:rFonts w:eastAsia="Calibri"/>
          <w:sz w:val="20"/>
        </w:rPr>
        <w:t xml:space="preserve">verfolgt keine konkrete Zielquote für die Besetzung von </w:t>
      </w:r>
      <w:r w:rsidR="00356C7D" w:rsidRPr="007568FF">
        <w:rPr>
          <w:rFonts w:eastAsia="Calibri"/>
          <w:sz w:val="20"/>
        </w:rPr>
        <w:t xml:space="preserve">freien Stellen bzw. </w:t>
      </w:r>
      <w:r w:rsidR="00752F1D" w:rsidRPr="007568FF">
        <w:rPr>
          <w:rFonts w:eastAsia="Calibri"/>
          <w:sz w:val="20"/>
        </w:rPr>
        <w:t xml:space="preserve">Managementpositionen durch weibliche Mitarbeiter, fördert erfolgreich diese aber zunehmend und verstärkt im Rahmen der internen sowie externen Recruiting- und Personalentwicklungsmaßnahmen. Das strategische Ziel ist es, in allen Führungsebenen die bestmögliche Diversität zu erreichen. </w:t>
      </w:r>
    </w:p>
    <w:p w14:paraId="28909EA7" w14:textId="77777777" w:rsidR="00752F1D" w:rsidRPr="007568FF" w:rsidRDefault="00752F1D" w:rsidP="00752F1D">
      <w:pPr>
        <w:jc w:val="both"/>
        <w:rPr>
          <w:rFonts w:eastAsia="Calibri"/>
          <w:sz w:val="20"/>
        </w:rPr>
      </w:pPr>
    </w:p>
    <w:p w14:paraId="4F233E90" w14:textId="77777777" w:rsidR="00752F1D" w:rsidRPr="007568FF" w:rsidRDefault="00752F1D" w:rsidP="00752F1D">
      <w:pPr>
        <w:jc w:val="both"/>
        <w:rPr>
          <w:sz w:val="20"/>
          <w:szCs w:val="22"/>
        </w:rPr>
      </w:pPr>
      <w:r w:rsidRPr="007568FF">
        <w:rPr>
          <w:sz w:val="20"/>
          <w:szCs w:val="22"/>
        </w:rPr>
        <w:t xml:space="preserve">Sämtliche Ausschreibungen und Veröffentlichungen werden für beide Geschlechter formuliert. </w:t>
      </w:r>
    </w:p>
    <w:p w14:paraId="1624089C" w14:textId="77777777" w:rsidR="00752F1D" w:rsidRPr="007568FF" w:rsidRDefault="00752F1D" w:rsidP="00752F1D">
      <w:pPr>
        <w:jc w:val="both"/>
        <w:rPr>
          <w:sz w:val="20"/>
          <w:szCs w:val="22"/>
        </w:rPr>
      </w:pPr>
    </w:p>
    <w:p w14:paraId="7F6B0A88" w14:textId="77777777" w:rsidR="00356C7D" w:rsidRPr="007568FF" w:rsidRDefault="00356C7D" w:rsidP="00356C7D">
      <w:pPr>
        <w:jc w:val="both"/>
        <w:rPr>
          <w:sz w:val="20"/>
        </w:rPr>
      </w:pPr>
      <w:r w:rsidRPr="007568FF">
        <w:rPr>
          <w:sz w:val="20"/>
        </w:rPr>
        <w:t>Die finanzielle Gleichstellung zwischen Frauen und Männern bei gleicher Leistung ist selbstverständlich. Bei der Neuaufnahme von Mitarbeiterinnen und Mitarbeitern erfolgt hinsichtlich der Geschlechter eine absolute Gleichbehandlung bei der Einstufung. Die zugrundeliegende Gehaltstafel des Kollektivvertrages wird ausschließlich nach der geplanten Tätigkeit herangezogen.</w:t>
      </w:r>
    </w:p>
    <w:p w14:paraId="487FF6A5" w14:textId="77777777" w:rsidR="00752F1D" w:rsidRPr="007568FF" w:rsidRDefault="00752F1D" w:rsidP="00752F1D">
      <w:pPr>
        <w:jc w:val="both"/>
        <w:rPr>
          <w:rFonts w:eastAsia="Calibri"/>
          <w:sz w:val="20"/>
        </w:rPr>
      </w:pPr>
    </w:p>
    <w:p w14:paraId="7025FFDD" w14:textId="77777777" w:rsidR="00752F1D" w:rsidRPr="007568FF" w:rsidRDefault="00356C7D" w:rsidP="00752F1D">
      <w:pPr>
        <w:jc w:val="both"/>
        <w:rPr>
          <w:rFonts w:eastAsia="Calibri"/>
          <w:sz w:val="20"/>
        </w:rPr>
      </w:pPr>
      <w:r w:rsidRPr="007568FF">
        <w:rPr>
          <w:sz w:val="20"/>
        </w:rPr>
        <w:lastRenderedPageBreak/>
        <w:t xml:space="preserve">Durch flexible Arbeitsmodelle in Form von Gleit- und Teilzeit, die Möglichkeit des Homeoffice-Arbeitens sowie Sondervereinbarungen für Mitarbeiterinnen und Mitarbeiter mit Elternteilzeit wird ein Beitrag zur gelebten Chancengleichheit und bestmöglichen Vereinbarkeit von Beruf und Familie geleistet. </w:t>
      </w:r>
      <w:r w:rsidR="000E594D" w:rsidRPr="007568FF">
        <w:rPr>
          <w:rFonts w:eastAsia="Calibri"/>
          <w:sz w:val="20"/>
        </w:rPr>
        <w:t>Kamptal</w:t>
      </w:r>
      <w:r w:rsidR="009B4951" w:rsidRPr="007568FF">
        <w:rPr>
          <w:rFonts w:eastAsia="Calibri"/>
          <w:sz w:val="20"/>
        </w:rPr>
        <w:t xml:space="preserve"> </w:t>
      </w:r>
      <w:r w:rsidR="00752F1D" w:rsidRPr="007568FF">
        <w:rPr>
          <w:rFonts w:eastAsia="Calibri"/>
          <w:sz w:val="20"/>
        </w:rPr>
        <w:t>ist bestrebt, die Vereinbarkeit von Beruf und Familie weiterhin durch den kontinuierlichen Ausbau an flexiblen Arbeitszeitmodellen gezielt zu fördern. Bei Bedarf und wenn es die jeweilige Position erlaubt, werden Teilzeitregelungen, Bildungskarenzen oder andere Modelle vereinbart. Dies auch bei leitenden Funktionen. Gezielte Informationen für Mitarbeiter/innen vor, während und nach der Karenz stellen die Unternehmensbindung sicher. Mütter und Väter, die nach Mutterschutz und Elternteilzeit wieder in den Beruf zurückkehren, werden vom Unternehmen aktiv bei der Wiederintegration unterstützt.</w:t>
      </w:r>
      <w:r w:rsidRPr="007568FF">
        <w:rPr>
          <w:sz w:val="20"/>
        </w:rPr>
        <w:t xml:space="preserve"> Mitarbeiterinnen werden nach der Karenz bestmöglich wieder ins Unternehmen integriert und durch die verschiedenen Teilzeitregelungen ist eine rasche Wiedereingliederung ins Unternehmen bei Vereinbarkeit Beruf und Familie bestens möglich.</w:t>
      </w:r>
    </w:p>
    <w:p w14:paraId="7CD5BF03" w14:textId="296CE6A5" w:rsidR="00752F1D" w:rsidRPr="007568FF" w:rsidRDefault="00752F1D" w:rsidP="00752F1D">
      <w:pPr>
        <w:jc w:val="both"/>
        <w:rPr>
          <w:rFonts w:eastAsia="Calibri"/>
          <w:sz w:val="20"/>
        </w:rPr>
      </w:pPr>
      <w:r w:rsidRPr="007568FF">
        <w:rPr>
          <w:rFonts w:eastAsia="Calibri"/>
          <w:sz w:val="20"/>
        </w:rPr>
        <w:t>Im Berichtsjahr lag der Anteil der</w:t>
      </w:r>
      <w:r w:rsidR="0063557D" w:rsidRPr="007568FF">
        <w:rPr>
          <w:rFonts w:eastAsia="Calibri"/>
          <w:sz w:val="20"/>
        </w:rPr>
        <w:t xml:space="preserve"> Teilzeitbeschäftigten bei </w:t>
      </w:r>
      <w:r w:rsidR="00EF7A5A">
        <w:rPr>
          <w:rFonts w:eastAsia="Calibri"/>
          <w:sz w:val="20"/>
        </w:rPr>
        <w:t>25</w:t>
      </w:r>
      <w:r w:rsidRPr="007568FF">
        <w:rPr>
          <w:rFonts w:eastAsia="Calibri"/>
          <w:sz w:val="20"/>
        </w:rPr>
        <w:t xml:space="preserve">%, gemessen an der Anzahl der Mitarbeiter. </w:t>
      </w:r>
    </w:p>
    <w:p w14:paraId="2F0DCE80" w14:textId="77777777" w:rsidR="00752F1D" w:rsidRPr="007568FF" w:rsidRDefault="00752F1D" w:rsidP="00752F1D">
      <w:pPr>
        <w:jc w:val="both"/>
        <w:rPr>
          <w:rFonts w:eastAsia="Calibri"/>
          <w:sz w:val="20"/>
        </w:rPr>
      </w:pPr>
    </w:p>
    <w:p w14:paraId="3FB7DA71" w14:textId="77777777" w:rsidR="00752F1D" w:rsidRPr="007568FF" w:rsidRDefault="00752F1D" w:rsidP="00752F1D">
      <w:pPr>
        <w:jc w:val="both"/>
        <w:rPr>
          <w:rFonts w:eastAsia="Calibri"/>
          <w:sz w:val="20"/>
        </w:rPr>
      </w:pPr>
      <w:r w:rsidRPr="007568FF">
        <w:rPr>
          <w:rFonts w:eastAsia="Calibri"/>
          <w:sz w:val="20"/>
        </w:rPr>
        <w:t xml:space="preserve">Bewusstseinsbildung und Sensibilisierung für Chancengleichheit gepaart mit konkreten Maßnahmen und Zielen zeigen die schon erreichten Erfolge.  </w:t>
      </w:r>
    </w:p>
    <w:p w14:paraId="0B440801" w14:textId="77777777" w:rsidR="00752F1D" w:rsidRPr="00D24C04" w:rsidRDefault="00752F1D" w:rsidP="00752F1D">
      <w:pPr>
        <w:jc w:val="both"/>
        <w:rPr>
          <w:rFonts w:eastAsia="Calibri"/>
          <w:sz w:val="28"/>
        </w:rPr>
      </w:pPr>
    </w:p>
    <w:p w14:paraId="4BF3D7DE" w14:textId="77777777" w:rsidR="00FB6C16" w:rsidRDefault="00FB6C16" w:rsidP="00752F1D">
      <w:pPr>
        <w:rPr>
          <w:b/>
          <w:spacing w:val="-10"/>
          <w:u w:val="single"/>
        </w:rPr>
      </w:pPr>
      <w:r>
        <w:rPr>
          <w:b/>
          <w:spacing w:val="-10"/>
          <w:u w:val="single"/>
        </w:rPr>
        <w:t xml:space="preserve">Vergütungen </w:t>
      </w:r>
    </w:p>
    <w:p w14:paraId="64AD40C1" w14:textId="77777777" w:rsidR="00FB6C16" w:rsidRDefault="00FB6C16" w:rsidP="00752F1D">
      <w:pPr>
        <w:rPr>
          <w:b/>
          <w:spacing w:val="-10"/>
          <w:u w:val="single"/>
        </w:rPr>
      </w:pPr>
    </w:p>
    <w:p w14:paraId="659A1589" w14:textId="77777777" w:rsidR="00B13BE4" w:rsidRPr="00FB6C16" w:rsidRDefault="00255A48" w:rsidP="00752F1D">
      <w:pPr>
        <w:rPr>
          <w:spacing w:val="-10"/>
          <w:u w:val="single"/>
        </w:rPr>
      </w:pPr>
      <w:r w:rsidRPr="00FB6C16">
        <w:rPr>
          <w:spacing w:val="-10"/>
          <w:u w:val="single"/>
        </w:rPr>
        <w:t>GESAMTBEZÜGE DER GESCHÄFTSFÜHRUNG UND GRUNDSÄTZE DER VERGÜTUNGSPOLITIK</w:t>
      </w:r>
    </w:p>
    <w:p w14:paraId="63391869" w14:textId="77777777" w:rsidR="00255A48" w:rsidRPr="00FB6C16" w:rsidRDefault="00255A48" w:rsidP="00752F1D">
      <w:pPr>
        <w:rPr>
          <w:sz w:val="14"/>
        </w:rPr>
      </w:pPr>
    </w:p>
    <w:p w14:paraId="206A66B6" w14:textId="77777777" w:rsidR="00B13BE4" w:rsidRPr="00B13BE4" w:rsidRDefault="00B13BE4" w:rsidP="00B13BE4">
      <w:pPr>
        <w:jc w:val="both"/>
        <w:rPr>
          <w:sz w:val="20"/>
        </w:rPr>
      </w:pPr>
      <w:r w:rsidRPr="00B13BE4">
        <w:rPr>
          <w:sz w:val="20"/>
        </w:rPr>
        <w:t xml:space="preserve">Die fixen Bezüge der Geschäftsführung werden entsprechend der österreichischen Rechtslage festgelegt und periodisch einer Überprüfung unterzogen. </w:t>
      </w:r>
    </w:p>
    <w:p w14:paraId="2CF3238B" w14:textId="77777777" w:rsidR="00B13BE4" w:rsidRPr="00B13BE4" w:rsidRDefault="00B13BE4" w:rsidP="00B13BE4">
      <w:pPr>
        <w:jc w:val="both"/>
        <w:rPr>
          <w:sz w:val="20"/>
        </w:rPr>
      </w:pPr>
      <w:r w:rsidRPr="00B13BE4">
        <w:rPr>
          <w:sz w:val="20"/>
        </w:rPr>
        <w:t xml:space="preserve">Die Vergütung der Geschäftsführung setzt sich aus einem, erfolgsunabhängigen Jahresgrundgehalt und einer variablen (leistungs- und erfolgsabhängige) Komponente/Prämie sowie Sachbezügen zusammen. Die variablen Vergütungen bemessen sich nach operativen und qualitativen Zielen und berücksichtigen auch nicht-finanzielle Leistungskriterien, die vom Aufsichtsrat festgelegt werden. </w:t>
      </w:r>
    </w:p>
    <w:p w14:paraId="06A753A8" w14:textId="77777777" w:rsidR="00B13BE4" w:rsidRPr="00B13BE4" w:rsidRDefault="00B13BE4" w:rsidP="00B13BE4">
      <w:pPr>
        <w:jc w:val="both"/>
        <w:rPr>
          <w:sz w:val="20"/>
        </w:rPr>
      </w:pPr>
      <w:r w:rsidRPr="00B13BE4">
        <w:rPr>
          <w:sz w:val="20"/>
        </w:rPr>
        <w:t>Voraussetzung für die Gewährung einer Prämie ist das Vorliegen einer bestehenden Zielvereinbarung, welche mit dem Aufsichtsrat abzuschließen ist. Quantitative Zielgrößen sind der Jahresgewinn und der Verwaltungskostendeckungsgrad sowie persönliche qualitative Ziele. Basierend auf der Erreichung der Zielkriterien wird dieser Bonus im Nachhinein für das abgelaufene Geschäftsjahr bestimmt und ausbezahlt, da die Zielerreichung erst mit Jahresabschluss festgestellt werden kann.</w:t>
      </w:r>
    </w:p>
    <w:p w14:paraId="5C41046F" w14:textId="77777777" w:rsidR="00B13BE4" w:rsidRPr="00B13BE4" w:rsidRDefault="00B13BE4" w:rsidP="00B13BE4">
      <w:pPr>
        <w:jc w:val="both"/>
        <w:rPr>
          <w:sz w:val="20"/>
        </w:rPr>
      </w:pPr>
      <w:r w:rsidRPr="00B13BE4">
        <w:rPr>
          <w:sz w:val="20"/>
        </w:rPr>
        <w:t>Für die Geschäftsführung gibt es keine gesonderten Vereinbarungen bezüglich Altersvorsorge und Beendigung der Geschäftsführertätigkeit. Wie für alle anderen Beschäftigten werden für die Geschäftsführer gehaltsabhängige Beiträge in eine Mitarbeitervorsorgekasse einbezahlt.</w:t>
      </w:r>
    </w:p>
    <w:p w14:paraId="4553FD33" w14:textId="77777777" w:rsidR="00B13BE4" w:rsidRPr="00B13BE4" w:rsidRDefault="00B13BE4" w:rsidP="00B13BE4">
      <w:pPr>
        <w:jc w:val="both"/>
        <w:rPr>
          <w:sz w:val="20"/>
        </w:rPr>
      </w:pPr>
      <w:r w:rsidRPr="00B13BE4">
        <w:rPr>
          <w:sz w:val="20"/>
        </w:rPr>
        <w:t>Bei Beendigung der Funktion haben die Geschäftsführer keine vertraglichen Abfertigungsansprüche.</w:t>
      </w:r>
    </w:p>
    <w:p w14:paraId="4225766D" w14:textId="77777777" w:rsidR="00B13BE4" w:rsidRPr="00B13BE4" w:rsidRDefault="00B13BE4" w:rsidP="00B13BE4">
      <w:pPr>
        <w:jc w:val="both"/>
        <w:rPr>
          <w:sz w:val="20"/>
        </w:rPr>
      </w:pPr>
    </w:p>
    <w:p w14:paraId="323D18D4" w14:textId="77777777" w:rsidR="00255A48" w:rsidRDefault="00B13BE4" w:rsidP="00255A48">
      <w:pPr>
        <w:jc w:val="both"/>
        <w:rPr>
          <w:sz w:val="20"/>
        </w:rPr>
      </w:pPr>
      <w:r w:rsidRPr="00B13BE4">
        <w:rPr>
          <w:sz w:val="20"/>
        </w:rPr>
        <w:t>Gemäß Pkt. 13 wird auf die Angabe der Bezüge der Geschäftsführung verzichtet.</w:t>
      </w:r>
      <w:r w:rsidR="00255A48">
        <w:rPr>
          <w:sz w:val="20"/>
        </w:rPr>
        <w:t xml:space="preserve"> </w:t>
      </w:r>
    </w:p>
    <w:p w14:paraId="6CEE3FB3" w14:textId="77777777" w:rsidR="00AB06F5" w:rsidRDefault="00B13BE4" w:rsidP="00255A48">
      <w:pPr>
        <w:jc w:val="both"/>
        <w:rPr>
          <w:sz w:val="20"/>
        </w:rPr>
      </w:pPr>
      <w:r w:rsidRPr="00B13BE4">
        <w:rPr>
          <w:sz w:val="20"/>
        </w:rPr>
        <w:t>An die Geschäftsführer oder deren nahe Angehörige im Sinne des §9a Abs. 4 WGG wurden keine Kredite oder Vorschüsse gewährt.</w:t>
      </w:r>
    </w:p>
    <w:p w14:paraId="0B0EA932" w14:textId="77777777" w:rsidR="00DE4829" w:rsidRPr="00DE4829" w:rsidRDefault="00DE4829" w:rsidP="00255A48">
      <w:pPr>
        <w:jc w:val="both"/>
        <w:rPr>
          <w:color w:val="FF0000"/>
          <w:sz w:val="20"/>
        </w:rPr>
      </w:pPr>
    </w:p>
    <w:p w14:paraId="4C7D9DAF" w14:textId="77777777" w:rsidR="006241A1" w:rsidRPr="007568FF" w:rsidRDefault="006241A1" w:rsidP="00752F1D">
      <w:pPr>
        <w:jc w:val="both"/>
        <w:rPr>
          <w:sz w:val="20"/>
        </w:rPr>
      </w:pPr>
    </w:p>
    <w:p w14:paraId="0A171719" w14:textId="77777777" w:rsidR="00091B46" w:rsidRDefault="00091B46" w:rsidP="00752F1D">
      <w:pPr>
        <w:jc w:val="both"/>
        <w:rPr>
          <w:sz w:val="20"/>
          <w:u w:val="single"/>
        </w:rPr>
      </w:pPr>
      <w:r w:rsidRPr="007568FF">
        <w:rPr>
          <w:sz w:val="20"/>
          <w:u w:val="single"/>
        </w:rPr>
        <w:t>Vergütungen für den Aufsichtsrat:</w:t>
      </w:r>
    </w:p>
    <w:p w14:paraId="32DDC95D" w14:textId="77777777" w:rsidR="005D0906" w:rsidRPr="007568FF" w:rsidRDefault="005D0906" w:rsidP="00752F1D">
      <w:pPr>
        <w:jc w:val="both"/>
        <w:rPr>
          <w:sz w:val="20"/>
          <w:u w:val="single"/>
        </w:rPr>
      </w:pPr>
    </w:p>
    <w:p w14:paraId="0182BFDE" w14:textId="77777777" w:rsidR="001468D1" w:rsidRPr="007568FF" w:rsidRDefault="001468D1" w:rsidP="001468D1">
      <w:pPr>
        <w:jc w:val="both"/>
        <w:rPr>
          <w:sz w:val="20"/>
        </w:rPr>
      </w:pPr>
      <w:r w:rsidRPr="007568FF">
        <w:rPr>
          <w:sz w:val="20"/>
        </w:rPr>
        <w:t>Die Vergütungsstruktur der Mitglieder des Aufsichtsrates und deren Berechnungsweise sind seit der Generalversammlung 22.06.2016 indexgesichert festgelegt. Sie bedarf damit keiner gesonderten jährlichen Beschlussfassung.</w:t>
      </w:r>
    </w:p>
    <w:p w14:paraId="10075B47" w14:textId="77777777" w:rsidR="00091B46" w:rsidRDefault="00091B46" w:rsidP="00752F1D">
      <w:pPr>
        <w:jc w:val="both"/>
        <w:rPr>
          <w:sz w:val="20"/>
        </w:rPr>
      </w:pPr>
    </w:p>
    <w:p w14:paraId="05456C0B" w14:textId="28B8688E" w:rsidR="00D80F44" w:rsidRDefault="00D80F44" w:rsidP="00752F1D">
      <w:pPr>
        <w:jc w:val="both"/>
        <w:rPr>
          <w:sz w:val="20"/>
        </w:rPr>
      </w:pPr>
      <w:r>
        <w:rPr>
          <w:sz w:val="20"/>
        </w:rPr>
        <w:t>Die Aufsichtsratsvergütungen (inkl. Sitzungsgelder) betrugen für das Geschäftsjahr 202</w:t>
      </w:r>
      <w:r w:rsidR="0088629A">
        <w:rPr>
          <w:sz w:val="20"/>
        </w:rPr>
        <w:t>5</w:t>
      </w:r>
      <w:r>
        <w:rPr>
          <w:sz w:val="20"/>
        </w:rPr>
        <w:t xml:space="preserve"> insgesamt </w:t>
      </w:r>
      <w:r w:rsidR="00793627">
        <w:rPr>
          <w:sz w:val="20"/>
        </w:rPr>
        <w:t>9.142,62</w:t>
      </w:r>
      <w:r>
        <w:rPr>
          <w:sz w:val="20"/>
        </w:rPr>
        <w:t xml:space="preserve"> EUR.</w:t>
      </w:r>
    </w:p>
    <w:p w14:paraId="534E9848" w14:textId="77777777" w:rsidR="005D56D4" w:rsidRDefault="00B13BE4" w:rsidP="00255A48">
      <w:pPr>
        <w:jc w:val="both"/>
        <w:rPr>
          <w:sz w:val="20"/>
        </w:rPr>
      </w:pPr>
      <w:r w:rsidRPr="00B13BE4">
        <w:rPr>
          <w:sz w:val="20"/>
        </w:rPr>
        <w:t>An Mitglieder des Aufsichtsrates oder deren nahe Angehörige im Sinne des §9a Abs. 4 WGG wurden keine Kredite oder Vorschüsse gewährt.</w:t>
      </w:r>
    </w:p>
    <w:p w14:paraId="0934DFC8" w14:textId="77777777" w:rsidR="000D3424" w:rsidRDefault="000D3424" w:rsidP="00255A48">
      <w:pPr>
        <w:jc w:val="both"/>
        <w:rPr>
          <w:sz w:val="20"/>
        </w:rPr>
      </w:pPr>
    </w:p>
    <w:p w14:paraId="2160AB70" w14:textId="77777777" w:rsidR="00F31264" w:rsidRDefault="00F31264" w:rsidP="00255A48">
      <w:pPr>
        <w:jc w:val="both"/>
        <w:rPr>
          <w:sz w:val="20"/>
        </w:rPr>
      </w:pPr>
    </w:p>
    <w:p w14:paraId="01BA595E" w14:textId="53F74720" w:rsidR="00F31264" w:rsidRDefault="00F31264" w:rsidP="00255A48">
      <w:pPr>
        <w:jc w:val="both"/>
        <w:rPr>
          <w:sz w:val="20"/>
        </w:rPr>
      </w:pPr>
      <w:r>
        <w:rPr>
          <w:sz w:val="20"/>
        </w:rPr>
        <w:t>Beschlossen vom Aufsichtsrat am 17.03.2026</w:t>
      </w:r>
    </w:p>
    <w:sectPr w:rsidR="00F31264" w:rsidSect="00D634DD">
      <w:headerReference w:type="default" r:id="rId8"/>
      <w:footerReference w:type="default" r:id="rId9"/>
      <w:type w:val="continuous"/>
      <w:pgSz w:w="11907" w:h="16840"/>
      <w:pgMar w:top="1276" w:right="1134" w:bottom="993" w:left="1418"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357D" w14:textId="77777777" w:rsidR="0016298D" w:rsidRDefault="0016298D">
      <w:r>
        <w:separator/>
      </w:r>
    </w:p>
  </w:endnote>
  <w:endnote w:type="continuationSeparator" w:id="0">
    <w:p w14:paraId="721D9C0E" w14:textId="77777777" w:rsidR="0016298D" w:rsidRDefault="0016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E0A1" w14:textId="6CF5CBFE" w:rsidR="00352D67" w:rsidRPr="001856D5" w:rsidRDefault="00352D67" w:rsidP="00352D67">
    <w:pPr>
      <w:pStyle w:val="Fuzeile"/>
      <w:tabs>
        <w:tab w:val="clear" w:pos="9072"/>
        <w:tab w:val="right" w:pos="9355"/>
      </w:tabs>
      <w:rPr>
        <w:sz w:val="20"/>
      </w:rPr>
    </w:pPr>
    <w:r w:rsidRPr="001856D5">
      <w:rPr>
        <w:sz w:val="20"/>
      </w:rPr>
      <w:t>C</w:t>
    </w:r>
    <w:r w:rsidR="00C049FC">
      <w:rPr>
        <w:sz w:val="20"/>
      </w:rPr>
      <w:t>G-Bericht Kamptal GmbH 202</w:t>
    </w:r>
    <w:r w:rsidR="00813024">
      <w:rPr>
        <w:sz w:val="20"/>
      </w:rPr>
      <w:t>5</w:t>
    </w:r>
    <w:r w:rsidRPr="001856D5">
      <w:rPr>
        <w:sz w:val="20"/>
      </w:rPr>
      <w:tab/>
    </w:r>
    <w:r w:rsidRPr="001856D5">
      <w:rPr>
        <w:sz w:val="20"/>
      </w:rPr>
      <w:tab/>
      <w:t xml:space="preserve"> Seite </w:t>
    </w:r>
    <w:r w:rsidRPr="001856D5">
      <w:rPr>
        <w:bCs/>
        <w:sz w:val="20"/>
      </w:rPr>
      <w:fldChar w:fldCharType="begin"/>
    </w:r>
    <w:r w:rsidRPr="001856D5">
      <w:rPr>
        <w:bCs/>
        <w:sz w:val="20"/>
      </w:rPr>
      <w:instrText>PAGE  \* Arabic  \* MERGEFORMAT</w:instrText>
    </w:r>
    <w:r w:rsidRPr="001856D5">
      <w:rPr>
        <w:bCs/>
        <w:sz w:val="20"/>
      </w:rPr>
      <w:fldChar w:fldCharType="separate"/>
    </w:r>
    <w:r w:rsidR="00752835">
      <w:rPr>
        <w:bCs/>
        <w:noProof/>
        <w:sz w:val="20"/>
      </w:rPr>
      <w:t>6</w:t>
    </w:r>
    <w:r w:rsidRPr="001856D5">
      <w:rPr>
        <w:bCs/>
        <w:sz w:val="20"/>
      </w:rPr>
      <w:fldChar w:fldCharType="end"/>
    </w:r>
    <w:r w:rsidRPr="001856D5">
      <w:rPr>
        <w:sz w:val="20"/>
      </w:rPr>
      <w:t xml:space="preserve"> von </w:t>
    </w:r>
    <w:r w:rsidRPr="001856D5">
      <w:rPr>
        <w:bCs/>
        <w:sz w:val="20"/>
      </w:rPr>
      <w:fldChar w:fldCharType="begin"/>
    </w:r>
    <w:r w:rsidRPr="001856D5">
      <w:rPr>
        <w:bCs/>
        <w:sz w:val="20"/>
      </w:rPr>
      <w:instrText>NUMPAGES  \* Arabic  \* MERGEFORMAT</w:instrText>
    </w:r>
    <w:r w:rsidRPr="001856D5">
      <w:rPr>
        <w:bCs/>
        <w:sz w:val="20"/>
      </w:rPr>
      <w:fldChar w:fldCharType="separate"/>
    </w:r>
    <w:r w:rsidR="00752835">
      <w:rPr>
        <w:bCs/>
        <w:noProof/>
        <w:sz w:val="20"/>
      </w:rPr>
      <w:t>6</w:t>
    </w:r>
    <w:r w:rsidRPr="001856D5">
      <w:rPr>
        <w:bCs/>
        <w:sz w:val="20"/>
      </w:rPr>
      <w:fldChar w:fldCharType="end"/>
    </w:r>
  </w:p>
  <w:p w14:paraId="234A785E" w14:textId="77777777" w:rsidR="003670BB" w:rsidRPr="00352D67" w:rsidRDefault="003670BB">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D329" w14:textId="77777777" w:rsidR="0016298D" w:rsidRDefault="0016298D">
      <w:r>
        <w:separator/>
      </w:r>
    </w:p>
  </w:footnote>
  <w:footnote w:type="continuationSeparator" w:id="0">
    <w:p w14:paraId="4C86F221" w14:textId="77777777" w:rsidR="0016298D" w:rsidRDefault="0016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BC00" w14:textId="77777777" w:rsidR="00352D67" w:rsidRDefault="00352D67" w:rsidP="00352D67">
    <w:pPr>
      <w:pStyle w:val="Kopfzeile"/>
      <w:ind w:left="6521"/>
    </w:pPr>
    <w:r w:rsidRPr="00352D67">
      <w:rPr>
        <w:noProof/>
        <w:lang w:val="de-AT" w:eastAsia="de-AT"/>
      </w:rPr>
      <w:drawing>
        <wp:inline distT="0" distB="0" distL="0" distR="0" wp14:anchorId="0DC1229A" wp14:editId="45591BA7">
          <wp:extent cx="1844040" cy="601980"/>
          <wp:effectExtent l="0" t="0" r="3810" b="7620"/>
          <wp:docPr id="5" name="Grafik 5" descr="Z:\Bilder und Fotos\Logo\Logo neu ab 2015\Kamptal_Logo_4c_Signatur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ilder und Fotos\Logo\Logo neu ab 2015\Kamptal_Logo_4c_Signaturbi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601980"/>
                  </a:xfrm>
                  <a:prstGeom prst="rect">
                    <a:avLst/>
                  </a:prstGeom>
                  <a:noFill/>
                  <a:ln>
                    <a:noFill/>
                  </a:ln>
                </pic:spPr>
              </pic:pic>
            </a:graphicData>
          </a:graphic>
        </wp:inline>
      </w:drawing>
    </w:r>
  </w:p>
  <w:p w14:paraId="021C1A3B" w14:textId="77777777" w:rsidR="003670BB" w:rsidRDefault="003670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71084"/>
    <w:multiLevelType w:val="hybridMultilevel"/>
    <w:tmpl w:val="0DC80640"/>
    <w:lvl w:ilvl="0" w:tplc="72F6A79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20D038C"/>
    <w:multiLevelType w:val="hybridMultilevel"/>
    <w:tmpl w:val="A5C4D5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814535"/>
    <w:multiLevelType w:val="hybridMultilevel"/>
    <w:tmpl w:val="DF02D27A"/>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FD26E2A"/>
    <w:multiLevelType w:val="hybridMultilevel"/>
    <w:tmpl w:val="0DC80640"/>
    <w:lvl w:ilvl="0" w:tplc="72F6A79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33860243">
    <w:abstractNumId w:val="1"/>
  </w:num>
  <w:num w:numId="2" w16cid:durableId="1413820408">
    <w:abstractNumId w:val="2"/>
  </w:num>
  <w:num w:numId="3" w16cid:durableId="1935744896">
    <w:abstractNumId w:val="0"/>
  </w:num>
  <w:num w:numId="4" w16cid:durableId="1194921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39"/>
    <w:rsid w:val="000753FA"/>
    <w:rsid w:val="00091245"/>
    <w:rsid w:val="00091B46"/>
    <w:rsid w:val="000970CB"/>
    <w:rsid w:val="000A6A22"/>
    <w:rsid w:val="000B13AE"/>
    <w:rsid w:val="000C74A4"/>
    <w:rsid w:val="000C79D4"/>
    <w:rsid w:val="000C7B6C"/>
    <w:rsid w:val="000D3424"/>
    <w:rsid w:val="000E594D"/>
    <w:rsid w:val="000E6528"/>
    <w:rsid w:val="000F54DC"/>
    <w:rsid w:val="001172D1"/>
    <w:rsid w:val="00132159"/>
    <w:rsid w:val="00146457"/>
    <w:rsid w:val="001468D1"/>
    <w:rsid w:val="00150125"/>
    <w:rsid w:val="001535C2"/>
    <w:rsid w:val="00160A51"/>
    <w:rsid w:val="0016298D"/>
    <w:rsid w:val="00167D46"/>
    <w:rsid w:val="0017335D"/>
    <w:rsid w:val="001856D5"/>
    <w:rsid w:val="001A1030"/>
    <w:rsid w:val="001D660F"/>
    <w:rsid w:val="001E08A6"/>
    <w:rsid w:val="001F2F17"/>
    <w:rsid w:val="001F461E"/>
    <w:rsid w:val="002011F9"/>
    <w:rsid w:val="00207534"/>
    <w:rsid w:val="00207A16"/>
    <w:rsid w:val="002122F9"/>
    <w:rsid w:val="00245AE3"/>
    <w:rsid w:val="002526C3"/>
    <w:rsid w:val="00255A48"/>
    <w:rsid w:val="00255E26"/>
    <w:rsid w:val="002657C4"/>
    <w:rsid w:val="0028261C"/>
    <w:rsid w:val="002834B7"/>
    <w:rsid w:val="002B36A5"/>
    <w:rsid w:val="002D3080"/>
    <w:rsid w:val="002E30C0"/>
    <w:rsid w:val="002E5A71"/>
    <w:rsid w:val="002F5251"/>
    <w:rsid w:val="00304F5F"/>
    <w:rsid w:val="003052A8"/>
    <w:rsid w:val="00311F86"/>
    <w:rsid w:val="00340284"/>
    <w:rsid w:val="0034053D"/>
    <w:rsid w:val="003521C7"/>
    <w:rsid w:val="00352D67"/>
    <w:rsid w:val="00356887"/>
    <w:rsid w:val="00356C7D"/>
    <w:rsid w:val="00364FEB"/>
    <w:rsid w:val="003670BB"/>
    <w:rsid w:val="00372641"/>
    <w:rsid w:val="00387324"/>
    <w:rsid w:val="003A2FF1"/>
    <w:rsid w:val="003E4006"/>
    <w:rsid w:val="003E7AA8"/>
    <w:rsid w:val="003F7ACB"/>
    <w:rsid w:val="00404DFB"/>
    <w:rsid w:val="00420595"/>
    <w:rsid w:val="0044032A"/>
    <w:rsid w:val="00452BDC"/>
    <w:rsid w:val="004811F7"/>
    <w:rsid w:val="00485916"/>
    <w:rsid w:val="004927B7"/>
    <w:rsid w:val="004A3610"/>
    <w:rsid w:val="004B015E"/>
    <w:rsid w:val="004B5696"/>
    <w:rsid w:val="004B78D0"/>
    <w:rsid w:val="004D6A33"/>
    <w:rsid w:val="004F49E1"/>
    <w:rsid w:val="0051727A"/>
    <w:rsid w:val="00525ED4"/>
    <w:rsid w:val="00526B2F"/>
    <w:rsid w:val="00562777"/>
    <w:rsid w:val="00565160"/>
    <w:rsid w:val="00575F8D"/>
    <w:rsid w:val="00596B4D"/>
    <w:rsid w:val="005B42E5"/>
    <w:rsid w:val="005D0906"/>
    <w:rsid w:val="005D56D4"/>
    <w:rsid w:val="005E482E"/>
    <w:rsid w:val="005F414E"/>
    <w:rsid w:val="006216A5"/>
    <w:rsid w:val="006241A1"/>
    <w:rsid w:val="00627CD5"/>
    <w:rsid w:val="00631B77"/>
    <w:rsid w:val="00633FD9"/>
    <w:rsid w:val="0063557D"/>
    <w:rsid w:val="00673067"/>
    <w:rsid w:val="00681C96"/>
    <w:rsid w:val="0068369B"/>
    <w:rsid w:val="006E099E"/>
    <w:rsid w:val="00712397"/>
    <w:rsid w:val="0071409A"/>
    <w:rsid w:val="007247C0"/>
    <w:rsid w:val="00737FAE"/>
    <w:rsid w:val="00752835"/>
    <w:rsid w:val="00752F1D"/>
    <w:rsid w:val="007568FF"/>
    <w:rsid w:val="00793627"/>
    <w:rsid w:val="00796B2E"/>
    <w:rsid w:val="007C3CC1"/>
    <w:rsid w:val="007D6864"/>
    <w:rsid w:val="007F6992"/>
    <w:rsid w:val="00802B60"/>
    <w:rsid w:val="00813024"/>
    <w:rsid w:val="00813452"/>
    <w:rsid w:val="00826BBF"/>
    <w:rsid w:val="00827C25"/>
    <w:rsid w:val="008418FE"/>
    <w:rsid w:val="00842DB4"/>
    <w:rsid w:val="008503D3"/>
    <w:rsid w:val="008665BA"/>
    <w:rsid w:val="0086744E"/>
    <w:rsid w:val="00876DEE"/>
    <w:rsid w:val="0088629A"/>
    <w:rsid w:val="00896929"/>
    <w:rsid w:val="008B15D1"/>
    <w:rsid w:val="008B1664"/>
    <w:rsid w:val="008B5FE9"/>
    <w:rsid w:val="008D00E8"/>
    <w:rsid w:val="008D2A08"/>
    <w:rsid w:val="008D723C"/>
    <w:rsid w:val="008F74DA"/>
    <w:rsid w:val="0095004A"/>
    <w:rsid w:val="00952249"/>
    <w:rsid w:val="00962235"/>
    <w:rsid w:val="00965001"/>
    <w:rsid w:val="009852F4"/>
    <w:rsid w:val="00995553"/>
    <w:rsid w:val="00995DD5"/>
    <w:rsid w:val="009A0777"/>
    <w:rsid w:val="009A1E5D"/>
    <w:rsid w:val="009A4094"/>
    <w:rsid w:val="009B4951"/>
    <w:rsid w:val="009B6CBB"/>
    <w:rsid w:val="009C77D8"/>
    <w:rsid w:val="009F3E59"/>
    <w:rsid w:val="00A15911"/>
    <w:rsid w:val="00A17B19"/>
    <w:rsid w:val="00A2012D"/>
    <w:rsid w:val="00A2328A"/>
    <w:rsid w:val="00A3579A"/>
    <w:rsid w:val="00A5240C"/>
    <w:rsid w:val="00A56C09"/>
    <w:rsid w:val="00A85622"/>
    <w:rsid w:val="00A92C5E"/>
    <w:rsid w:val="00A970F7"/>
    <w:rsid w:val="00A971AB"/>
    <w:rsid w:val="00AB06F5"/>
    <w:rsid w:val="00AB0CCB"/>
    <w:rsid w:val="00AB131A"/>
    <w:rsid w:val="00AD1C5B"/>
    <w:rsid w:val="00AD1EEC"/>
    <w:rsid w:val="00B13739"/>
    <w:rsid w:val="00B13BE4"/>
    <w:rsid w:val="00B1458F"/>
    <w:rsid w:val="00B24A98"/>
    <w:rsid w:val="00B42A0E"/>
    <w:rsid w:val="00B4339D"/>
    <w:rsid w:val="00B455F8"/>
    <w:rsid w:val="00B557F7"/>
    <w:rsid w:val="00B62006"/>
    <w:rsid w:val="00B65719"/>
    <w:rsid w:val="00B83A8D"/>
    <w:rsid w:val="00B873C4"/>
    <w:rsid w:val="00B91D9F"/>
    <w:rsid w:val="00B92AAD"/>
    <w:rsid w:val="00B95757"/>
    <w:rsid w:val="00BA4EC8"/>
    <w:rsid w:val="00BB05E7"/>
    <w:rsid w:val="00BB1881"/>
    <w:rsid w:val="00BC2411"/>
    <w:rsid w:val="00BC28EE"/>
    <w:rsid w:val="00BD68F9"/>
    <w:rsid w:val="00BD6D64"/>
    <w:rsid w:val="00BD7A0E"/>
    <w:rsid w:val="00BE65BE"/>
    <w:rsid w:val="00BF5A77"/>
    <w:rsid w:val="00C02558"/>
    <w:rsid w:val="00C049FC"/>
    <w:rsid w:val="00C16911"/>
    <w:rsid w:val="00C179A7"/>
    <w:rsid w:val="00C263F5"/>
    <w:rsid w:val="00C27B93"/>
    <w:rsid w:val="00C7347C"/>
    <w:rsid w:val="00C81DBC"/>
    <w:rsid w:val="00C86926"/>
    <w:rsid w:val="00CA4CFF"/>
    <w:rsid w:val="00CC496B"/>
    <w:rsid w:val="00CD0BB6"/>
    <w:rsid w:val="00CD5D9D"/>
    <w:rsid w:val="00CD7153"/>
    <w:rsid w:val="00CF1A7B"/>
    <w:rsid w:val="00D00B95"/>
    <w:rsid w:val="00D20925"/>
    <w:rsid w:val="00D24C04"/>
    <w:rsid w:val="00D26600"/>
    <w:rsid w:val="00D279AD"/>
    <w:rsid w:val="00D3496F"/>
    <w:rsid w:val="00D42AC7"/>
    <w:rsid w:val="00D4440B"/>
    <w:rsid w:val="00D44713"/>
    <w:rsid w:val="00D53CAF"/>
    <w:rsid w:val="00D634DD"/>
    <w:rsid w:val="00D80F44"/>
    <w:rsid w:val="00D91D2D"/>
    <w:rsid w:val="00D95426"/>
    <w:rsid w:val="00DB0208"/>
    <w:rsid w:val="00DC4AD7"/>
    <w:rsid w:val="00DE293B"/>
    <w:rsid w:val="00DE4829"/>
    <w:rsid w:val="00E04EB7"/>
    <w:rsid w:val="00E04F4C"/>
    <w:rsid w:val="00E1335F"/>
    <w:rsid w:val="00E13C82"/>
    <w:rsid w:val="00E14C99"/>
    <w:rsid w:val="00E209EF"/>
    <w:rsid w:val="00E218D4"/>
    <w:rsid w:val="00E26B5F"/>
    <w:rsid w:val="00E40DC5"/>
    <w:rsid w:val="00E40ED4"/>
    <w:rsid w:val="00E71726"/>
    <w:rsid w:val="00E8257D"/>
    <w:rsid w:val="00E83F5B"/>
    <w:rsid w:val="00EC42A4"/>
    <w:rsid w:val="00EF608D"/>
    <w:rsid w:val="00EF7A5A"/>
    <w:rsid w:val="00F0442A"/>
    <w:rsid w:val="00F130D6"/>
    <w:rsid w:val="00F13E0C"/>
    <w:rsid w:val="00F160BB"/>
    <w:rsid w:val="00F175DF"/>
    <w:rsid w:val="00F25A90"/>
    <w:rsid w:val="00F26ABB"/>
    <w:rsid w:val="00F30B1F"/>
    <w:rsid w:val="00F31264"/>
    <w:rsid w:val="00F36DC4"/>
    <w:rsid w:val="00F465D4"/>
    <w:rsid w:val="00F50417"/>
    <w:rsid w:val="00F65C9D"/>
    <w:rsid w:val="00F76555"/>
    <w:rsid w:val="00F80524"/>
    <w:rsid w:val="00F92AFF"/>
    <w:rsid w:val="00FA071D"/>
    <w:rsid w:val="00FA4F2D"/>
    <w:rsid w:val="00FB1814"/>
    <w:rsid w:val="00FB65A6"/>
    <w:rsid w:val="00FB6C16"/>
    <w:rsid w:val="00FC5A79"/>
    <w:rsid w:val="00FD46F8"/>
    <w:rsid w:val="00FE6B7F"/>
    <w:rsid w:val="00FE75C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E2AD16"/>
  <w15:docId w15:val="{11E490D6-9D26-4C82-85D2-A01647D0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6864"/>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Standard"/>
    <w:next w:val="Standard"/>
    <w:qFormat/>
    <w:pPr>
      <w:keepNext/>
      <w:spacing w:before="100"/>
      <w:outlineLvl w:val="0"/>
    </w:pPr>
    <w:rPr>
      <w:rFonts w:cs="Arial"/>
      <w:sz w:val="32"/>
      <w:lang w:val="fr-FR"/>
    </w:rPr>
  </w:style>
  <w:style w:type="paragraph" w:styleId="berschrift2">
    <w:name w:val="heading 2"/>
    <w:basedOn w:val="Standard"/>
    <w:next w:val="Standard"/>
    <w:qFormat/>
    <w:pPr>
      <w:keepNext/>
      <w:spacing w:before="240" w:line="240" w:lineRule="atLeast"/>
      <w:ind w:left="709"/>
      <w:jc w:val="right"/>
      <w:outlineLvl w:val="1"/>
    </w:pPr>
    <w:rPr>
      <w:rFonts w:cs="Arial"/>
    </w:rPr>
  </w:style>
  <w:style w:type="paragraph" w:styleId="berschrift3">
    <w:name w:val="heading 3"/>
    <w:basedOn w:val="Standard"/>
    <w:next w:val="Standard"/>
    <w:qFormat/>
    <w:pPr>
      <w:keepNext/>
      <w:ind w:right="-3"/>
      <w:outlineLvl w:val="2"/>
    </w:pPr>
    <w:rPr>
      <w:rFonts w:cs="Arial"/>
      <w:b/>
      <w:sz w:val="24"/>
    </w:rPr>
  </w:style>
  <w:style w:type="paragraph" w:styleId="berschrift4">
    <w:name w:val="heading 4"/>
    <w:basedOn w:val="Standard"/>
    <w:next w:val="Standard"/>
    <w:qFormat/>
    <w:pPr>
      <w:keepNext/>
      <w:outlineLvl w:val="3"/>
    </w:pPr>
    <w:rPr>
      <w:rFonts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NListe">
    <w:name w:val="TNListe"/>
    <w:basedOn w:val="Standard"/>
    <w:pPr>
      <w:tabs>
        <w:tab w:val="left" w:pos="4800"/>
        <w:tab w:val="left" w:pos="5520"/>
        <w:tab w:val="left" w:pos="7200"/>
      </w:tabs>
      <w:spacing w:before="240"/>
      <w:ind w:left="7200" w:hanging="7200"/>
    </w:pPr>
    <w:rPr>
      <w:rFonts w:ascii="Courier New" w:hAnsi="Courier New"/>
      <w:sz w:val="1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rsid w:val="00951BE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45AE3"/>
    <w:rPr>
      <w:rFonts w:ascii="Tahoma" w:hAnsi="Tahoma" w:cs="Tahoma"/>
      <w:sz w:val="16"/>
      <w:szCs w:val="16"/>
    </w:rPr>
  </w:style>
  <w:style w:type="character" w:customStyle="1" w:styleId="SprechblasentextZchn">
    <w:name w:val="Sprechblasentext Zchn"/>
    <w:basedOn w:val="Absatz-Standardschriftart"/>
    <w:link w:val="Sprechblasentext"/>
    <w:rsid w:val="00245AE3"/>
    <w:rPr>
      <w:rFonts w:ascii="Tahoma" w:hAnsi="Tahoma" w:cs="Tahoma"/>
      <w:sz w:val="16"/>
      <w:szCs w:val="16"/>
      <w:lang w:val="de-DE" w:eastAsia="de-DE"/>
    </w:rPr>
  </w:style>
  <w:style w:type="character" w:customStyle="1" w:styleId="KopfzeileZchn">
    <w:name w:val="Kopfzeile Zchn"/>
    <w:link w:val="Kopfzeile"/>
    <w:uiPriority w:val="99"/>
    <w:rsid w:val="00B95757"/>
    <w:rPr>
      <w:rFonts w:ascii="Arial" w:hAnsi="Arial"/>
      <w:sz w:val="22"/>
      <w:lang w:val="de-DE" w:eastAsia="de-DE"/>
    </w:rPr>
  </w:style>
  <w:style w:type="paragraph" w:styleId="NurText">
    <w:name w:val="Plain Text"/>
    <w:basedOn w:val="Standard"/>
    <w:link w:val="NurTextZchn"/>
    <w:uiPriority w:val="99"/>
    <w:unhideWhenUsed/>
    <w:rsid w:val="00AD1C5B"/>
    <w:pPr>
      <w:overflowPunct/>
      <w:autoSpaceDE/>
      <w:autoSpaceDN/>
      <w:adjustRightInd/>
      <w:textAlignment w:val="auto"/>
    </w:pPr>
    <w:rPr>
      <w:rFonts w:ascii="Calibri" w:eastAsiaTheme="minorHAnsi" w:hAnsi="Calibri" w:cstheme="minorBidi"/>
      <w:szCs w:val="21"/>
      <w:lang w:val="de-AT" w:eastAsia="en-US"/>
    </w:rPr>
  </w:style>
  <w:style w:type="character" w:customStyle="1" w:styleId="NurTextZchn">
    <w:name w:val="Nur Text Zchn"/>
    <w:basedOn w:val="Absatz-Standardschriftart"/>
    <w:link w:val="NurText"/>
    <w:uiPriority w:val="99"/>
    <w:rsid w:val="00AD1C5B"/>
    <w:rPr>
      <w:rFonts w:ascii="Calibri" w:eastAsiaTheme="minorHAnsi" w:hAnsi="Calibri" w:cstheme="minorBidi"/>
      <w:sz w:val="22"/>
      <w:szCs w:val="21"/>
      <w:lang w:eastAsia="en-US"/>
    </w:rPr>
  </w:style>
  <w:style w:type="character" w:styleId="Hyperlink">
    <w:name w:val="Hyperlink"/>
    <w:basedOn w:val="Absatz-Standardschriftart"/>
    <w:rsid w:val="00D53CAF"/>
    <w:rPr>
      <w:color w:val="0000FF" w:themeColor="hyperlink"/>
      <w:u w:val="single"/>
    </w:rPr>
  </w:style>
  <w:style w:type="paragraph" w:styleId="Listenabsatz">
    <w:name w:val="List Paragraph"/>
    <w:basedOn w:val="Standard"/>
    <w:uiPriority w:val="34"/>
    <w:qFormat/>
    <w:rsid w:val="00387324"/>
    <w:pPr>
      <w:overflowPunct/>
      <w:autoSpaceDE/>
      <w:autoSpaceDN/>
      <w:adjustRightInd/>
      <w:spacing w:after="160" w:line="259" w:lineRule="auto"/>
      <w:ind w:left="720"/>
      <w:contextualSpacing/>
      <w:textAlignment w:val="auto"/>
    </w:pPr>
    <w:rPr>
      <w:rFonts w:asciiTheme="minorHAnsi" w:eastAsiaTheme="minorHAnsi" w:hAnsiTheme="minorHAnsi" w:cstheme="minorBidi"/>
      <w:szCs w:val="22"/>
      <w:lang w:val="de-AT" w:eastAsia="en-US"/>
    </w:rPr>
  </w:style>
  <w:style w:type="character" w:customStyle="1" w:styleId="FuzeileZchn">
    <w:name w:val="Fußzeile Zchn"/>
    <w:basedOn w:val="Absatz-Standardschriftart"/>
    <w:link w:val="Fuzeile"/>
    <w:uiPriority w:val="99"/>
    <w:rsid w:val="00352D67"/>
    <w:rPr>
      <w:rFonts w:ascii="Arial"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ptal-gb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6\VORLAGEN\BRFPRV.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BRFPRV</Template>
  <TotalTime>0</TotalTime>
  <Pages>6</Pages>
  <Words>2711</Words>
  <Characters>17085</Characters>
  <Application>Microsoft Office Word</Application>
  <DocSecurity>0</DocSecurity>
  <Lines>142</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Rainer Lamberts_</vt:lpstr>
      <vt:lpstr>Rainer Lamberts_</vt:lpstr>
    </vt:vector>
  </TitlesOfParts>
  <Company>Unbekannte Organisation</Company>
  <LinksUpToDate>false</LinksUpToDate>
  <CharactersWithSpaces>19757</CharactersWithSpaces>
  <SharedDoc>false</SharedDoc>
  <HLinks>
    <vt:vector size="6" baseType="variant">
      <vt:variant>
        <vt:i4>5505133</vt:i4>
      </vt:variant>
      <vt:variant>
        <vt:i4>-1</vt:i4>
      </vt:variant>
      <vt:variant>
        <vt:i4>1028</vt:i4>
      </vt:variant>
      <vt:variant>
        <vt:i4>1</vt:i4>
      </vt:variant>
      <vt:variant>
        <vt:lpwstr>briefpapier-Alpenland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Rainer Lamberts_</dc:title>
  <dc:creator>Lamberts</dc:creator>
  <cp:lastModifiedBy>Wolfgang Berger</cp:lastModifiedBy>
  <cp:revision>10</cp:revision>
  <cp:lastPrinted>2025-03-05T14:58:00Z</cp:lastPrinted>
  <dcterms:created xsi:type="dcterms:W3CDTF">2026-03-05T13:52:00Z</dcterms:created>
  <dcterms:modified xsi:type="dcterms:W3CDTF">2026-03-19T13:25:00Z</dcterms:modified>
</cp:coreProperties>
</file>